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240" w:lineRule="auto"/>
        <w:ind w:left="0" w:leftChars="0"/>
        <w:jc w:val="center"/>
        <w:outlineLvl w:val="0"/>
        <w:rPr>
          <w:rFonts w:hint="eastAsia" w:ascii="黑体" w:hAnsi="黑体" w:eastAsia="黑体" w:cs="黑体"/>
          <w:b/>
          <w:bCs w:val="0"/>
          <w:sz w:val="36"/>
          <w:szCs w:val="36"/>
        </w:rPr>
      </w:pPr>
      <w:r>
        <w:rPr>
          <w:rFonts w:hint="eastAsia" w:ascii="黑体" w:hAnsi="黑体" w:eastAsia="黑体" w:cs="黑体"/>
          <w:b/>
          <w:bCs w:val="0"/>
          <w:sz w:val="36"/>
          <w:szCs w:val="36"/>
        </w:rPr>
        <w:t>杨浦区区级企业技术中心认定申请和评价工作指南</w:t>
      </w:r>
    </w:p>
    <w:p>
      <w:pPr>
        <w:pageBreakBefore w:val="0"/>
        <w:kinsoku/>
        <w:wordWrap/>
        <w:overflowPunct/>
        <w:topLinePunct w:val="0"/>
        <w:autoSpaceDE/>
        <w:autoSpaceDN/>
        <w:bidi w:val="0"/>
        <w:adjustRightInd/>
        <w:snapToGrid/>
        <w:spacing w:line="240" w:lineRule="auto"/>
        <w:ind w:left="0" w:leftChars="0"/>
        <w:jc w:val="center"/>
        <w:outlineLvl w:val="0"/>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(2019版）</w:t>
      </w:r>
    </w:p>
    <w:p>
      <w:pPr>
        <w:pageBreakBefore w:val="0"/>
        <w:kinsoku/>
        <w:wordWrap/>
        <w:overflowPunct/>
        <w:topLinePunct w:val="0"/>
        <w:autoSpaceDE/>
        <w:autoSpaceDN/>
        <w:bidi w:val="0"/>
        <w:adjustRightInd/>
        <w:snapToGrid/>
        <w:spacing w:line="240" w:lineRule="auto"/>
        <w:ind w:left="0" w:leftChars="0"/>
        <w:jc w:val="center"/>
        <w:rPr>
          <w:rFonts w:ascii="宋体" w:hAnsi="宋体" w:eastAsia="宋体" w:cs="仿宋_GB2312"/>
          <w:szCs w:val="32"/>
        </w:rPr>
      </w:pPr>
    </w:p>
    <w:p>
      <w:pPr>
        <w:pStyle w:val="2"/>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为规范杨浦区区级企业技术中心评价工作，指导本区区级企业技术中心编制申请和评价材料，根据《杨浦区企业技术中心管理办法》</w:t>
      </w:r>
      <w:r>
        <w:rPr>
          <w:rFonts w:hint="eastAsia" w:ascii="宋体" w:hAnsi="宋体" w:eastAsia="宋体" w:cs="宋体"/>
          <w:sz w:val="28"/>
          <w:szCs w:val="28"/>
          <w:lang w:eastAsia="zh-CN"/>
        </w:rPr>
        <w:t>（杨商务委规[2018]</w:t>
      </w:r>
      <w:r>
        <w:rPr>
          <w:rFonts w:hint="eastAsia" w:ascii="宋体" w:hAnsi="宋体" w:eastAsia="宋体" w:cs="宋体"/>
          <w:sz w:val="28"/>
          <w:szCs w:val="28"/>
          <w:lang w:val="en-US" w:eastAsia="zh-CN"/>
        </w:rPr>
        <w:t>2号</w:t>
      </w:r>
      <w:r>
        <w:rPr>
          <w:rFonts w:hint="eastAsia" w:ascii="宋体" w:hAnsi="宋体" w:eastAsia="宋体" w:cs="宋体"/>
          <w:sz w:val="28"/>
          <w:szCs w:val="28"/>
          <w:lang w:eastAsia="zh-CN"/>
        </w:rPr>
        <w:t>）</w:t>
      </w:r>
      <w:r>
        <w:rPr>
          <w:rFonts w:hint="eastAsia" w:ascii="宋体" w:hAnsi="宋体" w:eastAsia="宋体" w:cs="宋体"/>
          <w:sz w:val="28"/>
          <w:szCs w:val="28"/>
        </w:rPr>
        <w:t>要求，制</w:t>
      </w:r>
      <w:r>
        <w:rPr>
          <w:rFonts w:hint="eastAsia" w:ascii="宋体" w:hAnsi="宋体" w:eastAsia="宋体" w:cs="宋体"/>
          <w:sz w:val="28"/>
          <w:szCs w:val="28"/>
          <w:lang w:eastAsia="zh-CN"/>
        </w:rPr>
        <w:t>定</w:t>
      </w:r>
      <w:r>
        <w:rPr>
          <w:rFonts w:hint="eastAsia" w:ascii="宋体" w:hAnsi="宋体" w:eastAsia="宋体" w:cs="宋体"/>
          <w:sz w:val="28"/>
          <w:szCs w:val="28"/>
        </w:rPr>
        <w:t>本指南。</w:t>
      </w:r>
    </w:p>
    <w:p>
      <w:pPr>
        <w:pStyle w:val="2"/>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申请杨浦区区级企业技术中心的企业，需根据《杨浦区企业技术中心管理办法》和当年通知要求，参照本指南编制申请材料。申请材料内容应包括：《杨浦区区级企业技术中心申请报告》（见附件1）</w:t>
      </w:r>
    </w:p>
    <w:p>
      <w:pPr>
        <w:pStyle w:val="2"/>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已认定的杨浦区区级企业技术中心，需参加每两年一次的区级企业技术中心运行评价，参照本指南编制评价材料。评价材料内容应包括：《杨浦区区级企业技术中心工作总结》（见附件3）和《杨浦区区级企业技术中心评价材料》（见附件2）。杨浦区商务委员会依据《杨浦区区级企业技术中心评价指标体系》（见附件4）对区级企业技术中心评价材料进行评价。</w:t>
      </w:r>
    </w:p>
    <w:p>
      <w:pPr>
        <w:pageBreakBefore w:val="0"/>
        <w:kinsoku/>
        <w:wordWrap/>
        <w:overflowPunct/>
        <w:topLinePunct w:val="0"/>
        <w:autoSpaceDE/>
        <w:autoSpaceDN/>
        <w:bidi w:val="0"/>
        <w:adjustRightInd/>
        <w:snapToGrid/>
        <w:spacing w:line="240" w:lineRule="auto"/>
        <w:ind w:left="0" w:leftChars="0"/>
        <w:outlineLvl w:val="1"/>
        <w:rPr>
          <w:rFonts w:ascii="黑体" w:eastAsia="黑体"/>
          <w:bCs/>
          <w:szCs w:val="32"/>
        </w:rPr>
      </w:pPr>
      <w:r>
        <w:rPr>
          <w:rFonts w:ascii="宋体" w:hAnsi="宋体" w:eastAsia="宋体"/>
          <w:sz w:val="28"/>
          <w:szCs w:val="28"/>
        </w:rPr>
        <w:br w:type="page"/>
      </w:r>
      <w:bookmarkStart w:id="0" w:name="_Toc466639355"/>
      <w:r>
        <w:rPr>
          <w:rFonts w:hint="eastAsia" w:ascii="黑体" w:eastAsia="黑体" w:cs="黑体"/>
          <w:bCs/>
          <w:szCs w:val="32"/>
        </w:rPr>
        <w:t>附件</w:t>
      </w:r>
      <w:r>
        <w:rPr>
          <w:rFonts w:hint="eastAsia" w:ascii="黑体" w:eastAsia="黑体"/>
          <w:bCs/>
          <w:szCs w:val="32"/>
        </w:rPr>
        <w:t>1</w:t>
      </w:r>
    </w:p>
    <w:p>
      <w:pPr>
        <w:pageBreakBefore w:val="0"/>
        <w:kinsoku/>
        <w:wordWrap/>
        <w:overflowPunct/>
        <w:topLinePunct w:val="0"/>
        <w:autoSpaceDE/>
        <w:autoSpaceDN/>
        <w:bidi w:val="0"/>
        <w:adjustRightInd/>
        <w:snapToGrid/>
        <w:spacing w:line="240" w:lineRule="auto"/>
        <w:ind w:left="0" w:leftChars="0"/>
        <w:jc w:val="center"/>
        <w:outlineLvl w:val="1"/>
        <w:rPr>
          <w:rFonts w:hint="eastAsia" w:ascii="黑体" w:hAnsi="黑体" w:eastAsia="黑体" w:cs="黑体"/>
          <w:b/>
          <w:bCs w:val="0"/>
          <w:sz w:val="36"/>
          <w:szCs w:val="36"/>
        </w:rPr>
      </w:pPr>
      <w:r>
        <w:rPr>
          <w:rFonts w:hint="eastAsia" w:ascii="黑体" w:hAnsi="黑体" w:eastAsia="黑体" w:cs="黑体"/>
          <w:b/>
          <w:bCs w:val="0"/>
          <w:sz w:val="36"/>
          <w:szCs w:val="36"/>
        </w:rPr>
        <w:t>《杨浦区区级企业技术中心申请报告》编写提纲</w:t>
      </w:r>
      <w:bookmarkEnd w:id="0"/>
    </w:p>
    <w:p>
      <w:pPr>
        <w:pageBreakBefore w:val="0"/>
        <w:kinsoku/>
        <w:wordWrap/>
        <w:overflowPunct/>
        <w:topLinePunct w:val="0"/>
        <w:autoSpaceDE/>
        <w:autoSpaceDN/>
        <w:bidi w:val="0"/>
        <w:adjustRightInd/>
        <w:snapToGrid/>
        <w:spacing w:line="240" w:lineRule="auto"/>
        <w:ind w:left="0" w:leftChars="0"/>
        <w:rPr>
          <w:rFonts w:eastAsia="黑体" w:cs="黑体"/>
          <w:sz w:val="28"/>
          <w:szCs w:val="28"/>
        </w:rPr>
      </w:pPr>
    </w:p>
    <w:p>
      <w:pPr>
        <w:pageBreakBefore w:val="0"/>
        <w:kinsoku/>
        <w:wordWrap/>
        <w:overflowPunct/>
        <w:topLinePunct w:val="0"/>
        <w:autoSpaceDE/>
        <w:autoSpaceDN/>
        <w:bidi w:val="0"/>
        <w:adjustRightInd/>
        <w:snapToGrid/>
        <w:spacing w:line="240" w:lineRule="auto"/>
        <w:ind w:left="0" w:leftChars="0" w:firstLine="562" w:firstLineChars="200"/>
        <w:rPr>
          <w:rFonts w:hint="eastAsia" w:ascii="宋体" w:hAnsi="宋体" w:eastAsia="宋体" w:cs="宋体"/>
          <w:b/>
          <w:bCs/>
          <w:sz w:val="28"/>
          <w:szCs w:val="28"/>
        </w:rPr>
      </w:pPr>
      <w:r>
        <w:rPr>
          <w:rFonts w:hint="eastAsia" w:ascii="宋体" w:hAnsi="宋体" w:eastAsia="宋体" w:cs="宋体"/>
          <w:b/>
          <w:bCs/>
          <w:sz w:val="28"/>
          <w:szCs w:val="28"/>
        </w:rPr>
        <w:t>一、企业的地位和作用</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1.企业基本情况。包括所有制性质、主要下属企业，职工人数、企业总资产、资产负债率、银行信用等级、销售收入、利润、主导产品及市场占有率等。</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2.企业的行业地位和竞争力。结合行业集中度和企业在行业中的综合排序，分析企业在本行业的地位和竞争优势，与同行业企业相比所具有的优势。</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3.企业对本市产业技术创新的引领作用。包括企业对行业技术进步、结构调整、节能减排、资源节约综合利用等方面的示范和带动作用。</w:t>
      </w:r>
    </w:p>
    <w:p>
      <w:pPr>
        <w:pageBreakBefore w:val="0"/>
        <w:kinsoku/>
        <w:wordWrap/>
        <w:overflowPunct/>
        <w:topLinePunct w:val="0"/>
        <w:autoSpaceDE/>
        <w:autoSpaceDN/>
        <w:bidi w:val="0"/>
        <w:adjustRightInd/>
        <w:snapToGrid/>
        <w:spacing w:line="240" w:lineRule="auto"/>
        <w:ind w:left="0" w:leftChars="0" w:firstLine="562" w:firstLineChars="200"/>
        <w:rPr>
          <w:rFonts w:hint="eastAsia" w:ascii="宋体" w:hAnsi="宋体" w:eastAsia="宋体" w:cs="宋体"/>
          <w:b/>
          <w:bCs/>
          <w:sz w:val="28"/>
          <w:szCs w:val="28"/>
        </w:rPr>
      </w:pPr>
      <w:r>
        <w:rPr>
          <w:rFonts w:hint="eastAsia" w:ascii="宋体" w:hAnsi="宋体" w:eastAsia="宋体" w:cs="宋体"/>
          <w:b/>
          <w:bCs/>
          <w:sz w:val="28"/>
          <w:szCs w:val="28"/>
        </w:rPr>
        <w:t>二、企业技术创新的现状和成绩</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1.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2.企业技术中心创新资源整合情况。包括企业技术中心技术带头人及创新团队建设情况、研发经费投入情况、研究开发和试验基础条件建设情况、信息化建设情况等。</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3.企业技术中心研究开发工作开展情况。包括重大产品创新、工艺创新、商业模式创新、知识产权运用、产学研合作、企业间合作、国际化研发活动等。</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4.企业技术中心取得的主要创新成果。形成的核心技术及自主知识产权、标准等情况，重点介绍相关技术成果对企业核心产品研发、核心竞争力提升的支撑作用，以及取得的经济社会效益。</w:t>
      </w:r>
    </w:p>
    <w:p>
      <w:pPr>
        <w:pageBreakBefore w:val="0"/>
        <w:kinsoku/>
        <w:wordWrap/>
        <w:overflowPunct/>
        <w:topLinePunct w:val="0"/>
        <w:autoSpaceDE/>
        <w:autoSpaceDN/>
        <w:bidi w:val="0"/>
        <w:adjustRightInd/>
        <w:snapToGrid/>
        <w:spacing w:line="240" w:lineRule="auto"/>
        <w:ind w:left="0" w:leftChars="0" w:firstLine="562" w:firstLineChars="200"/>
        <w:rPr>
          <w:rFonts w:hint="eastAsia" w:ascii="宋体" w:hAnsi="宋体" w:eastAsia="宋体" w:cs="宋体"/>
          <w:b/>
          <w:bCs/>
          <w:sz w:val="28"/>
          <w:szCs w:val="28"/>
        </w:rPr>
      </w:pPr>
      <w:r>
        <w:rPr>
          <w:rFonts w:hint="eastAsia" w:ascii="宋体" w:hAnsi="宋体" w:eastAsia="宋体" w:cs="宋体"/>
          <w:b/>
          <w:bCs/>
          <w:sz w:val="28"/>
          <w:szCs w:val="28"/>
        </w:rPr>
        <w:t>三、企业技术创新战略和规划</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1.企业制定未来5～10年技术创新发展战略情况，及该战略对企业总体发展目标的支撑情况。</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2.企业近三年在技术创新方面拟实施的重点举措，包括创新条件建设、创新人才集聚、重点研发项目部署等。</w:t>
      </w:r>
    </w:p>
    <w:p>
      <w:pPr>
        <w:pageBreakBefore w:val="0"/>
        <w:widowControl/>
        <w:kinsoku/>
        <w:wordWrap/>
        <w:overflowPunct/>
        <w:topLinePunct w:val="0"/>
        <w:autoSpaceDE/>
        <w:autoSpaceDN/>
        <w:bidi w:val="0"/>
        <w:adjustRightInd/>
        <w:snapToGrid/>
        <w:spacing w:line="240" w:lineRule="auto"/>
        <w:ind w:left="0" w:leftChars="0"/>
        <w:jc w:val="left"/>
        <w:rPr>
          <w:rFonts w:ascii="黑体" w:eastAsia="黑体"/>
          <w:bCs/>
          <w:szCs w:val="32"/>
        </w:rPr>
      </w:pPr>
      <w:r>
        <w:rPr>
          <w:rFonts w:ascii="宋体" w:hAnsi="宋体" w:eastAsia="宋体"/>
          <w:sz w:val="28"/>
          <w:szCs w:val="28"/>
        </w:rPr>
        <w:br w:type="page"/>
      </w:r>
      <w:bookmarkStart w:id="1" w:name="_Toc466639356"/>
      <w:r>
        <w:rPr>
          <w:rFonts w:hint="eastAsia" w:ascii="黑体" w:eastAsia="黑体" w:cs="黑体"/>
          <w:bCs/>
          <w:szCs w:val="32"/>
        </w:rPr>
        <w:t>附件</w:t>
      </w:r>
      <w:r>
        <w:rPr>
          <w:rFonts w:hint="eastAsia" w:ascii="黑体" w:eastAsia="黑体"/>
          <w:bCs/>
          <w:szCs w:val="32"/>
        </w:rPr>
        <w:t>2</w:t>
      </w: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val="0"/>
          <w:sz w:val="36"/>
          <w:szCs w:val="36"/>
        </w:rPr>
      </w:pPr>
      <w:r>
        <w:rPr>
          <w:rFonts w:hint="eastAsia" w:ascii="黑体" w:hAnsi="黑体" w:eastAsia="黑体" w:cs="黑体"/>
          <w:b/>
          <w:bCs w:val="0"/>
          <w:sz w:val="36"/>
          <w:szCs w:val="36"/>
        </w:rPr>
        <w:t>杨浦区区级企业技术中心评价材料</w:t>
      </w:r>
      <w:bookmarkEnd w:id="1"/>
    </w:p>
    <w:p>
      <w:pPr>
        <w:pageBreakBefore w:val="0"/>
        <w:kinsoku/>
        <w:wordWrap/>
        <w:overflowPunct/>
        <w:topLinePunct w:val="0"/>
        <w:autoSpaceDE/>
        <w:autoSpaceDN/>
        <w:bidi w:val="0"/>
        <w:adjustRightInd/>
        <w:snapToGrid/>
        <w:spacing w:line="240" w:lineRule="auto"/>
        <w:ind w:left="0" w:leftChars="0"/>
        <w:outlineLvl w:val="2"/>
        <w:rPr>
          <w:rFonts w:eastAsia="黑体" w:cs="黑体"/>
          <w:kern w:val="0"/>
          <w:szCs w:val="32"/>
        </w:rPr>
      </w:pPr>
      <w:bookmarkStart w:id="2" w:name="_Toc466639357"/>
    </w:p>
    <w:bookmarkEnd w:id="2"/>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bookmarkStart w:id="3" w:name="_Toc466639359"/>
      <w:r>
        <w:rPr>
          <w:rFonts w:hint="eastAsia" w:ascii="宋体" w:hAnsi="宋体" w:eastAsia="宋体" w:cs="宋体"/>
          <w:color w:val="000000"/>
          <w:kern w:val="0"/>
          <w:sz w:val="30"/>
          <w:szCs w:val="30"/>
        </w:rPr>
        <w:t>一、</w:t>
      </w:r>
      <w:r>
        <w:rPr>
          <w:rFonts w:hint="eastAsia" w:ascii="宋体" w:hAnsi="宋体" w:eastAsia="宋体" w:cs="宋体"/>
          <w:color w:val="000000"/>
          <w:kern w:val="0"/>
          <w:sz w:val="30"/>
          <w:szCs w:val="30"/>
          <w:lang w:eastAsia="zh-CN"/>
        </w:rPr>
        <w:t>杨浦区区级</w:t>
      </w:r>
      <w:r>
        <w:rPr>
          <w:rFonts w:hint="eastAsia" w:ascii="宋体" w:hAnsi="宋体" w:eastAsia="宋体" w:cs="宋体"/>
          <w:color w:val="000000"/>
          <w:kern w:val="0"/>
          <w:sz w:val="30"/>
          <w:szCs w:val="30"/>
        </w:rPr>
        <w:t>企业技术中心评价表</w:t>
      </w:r>
      <w:r>
        <w:rPr>
          <w:rFonts w:hint="eastAsia" w:ascii="宋体" w:hAnsi="宋体" w:eastAsia="宋体" w:cs="宋体"/>
          <w:color w:val="000000"/>
          <w:kern w:val="0"/>
          <w:sz w:val="30"/>
          <w:szCs w:val="30"/>
          <w:lang w:eastAsia="zh-CN"/>
        </w:rPr>
        <w:t>（详见样表和</w:t>
      </w:r>
      <w:r>
        <w:rPr>
          <w:rFonts w:hint="eastAsia" w:ascii="宋体" w:hAnsi="宋体" w:eastAsia="宋体" w:cs="宋体"/>
          <w:color w:val="000000"/>
          <w:kern w:val="0"/>
          <w:sz w:val="30"/>
          <w:szCs w:val="30"/>
        </w:rPr>
        <w:t>指标解释和填报说明</w:t>
      </w:r>
      <w:r>
        <w:rPr>
          <w:rFonts w:hint="eastAsia" w:ascii="宋体" w:hAnsi="宋体" w:eastAsia="宋体" w:cs="宋体"/>
          <w:color w:val="000000"/>
          <w:kern w:val="0"/>
          <w:sz w:val="30"/>
          <w:szCs w:val="30"/>
          <w:lang w:eastAsia="zh-CN"/>
        </w:rPr>
        <w:t>）</w:t>
      </w:r>
      <w:r>
        <w:rPr>
          <w:rFonts w:hint="eastAsia" w:ascii="宋体" w:hAnsi="宋体" w:eastAsia="宋体" w:cs="宋体"/>
          <w:color w:val="000000"/>
          <w:kern w:val="0"/>
          <w:sz w:val="30"/>
          <w:szCs w:val="30"/>
        </w:rPr>
        <w:t xml:space="preserve">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二、需提供的附件及证明材料</w:t>
      </w:r>
      <w:r>
        <w:rPr>
          <w:rFonts w:hint="eastAsia" w:ascii="宋体" w:hAnsi="宋体" w:eastAsia="宋体" w:cs="宋体"/>
          <w:color w:val="000000"/>
          <w:kern w:val="0"/>
          <w:sz w:val="30"/>
          <w:szCs w:val="30"/>
          <w:lang w:eastAsia="zh-CN"/>
        </w:rPr>
        <w:t>（详见附件）</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三、</w:t>
      </w:r>
      <w:r>
        <w:rPr>
          <w:rFonts w:hint="eastAsia" w:ascii="宋体" w:hAnsi="宋体" w:eastAsia="宋体" w:cs="宋体"/>
          <w:color w:val="000000"/>
          <w:kern w:val="0"/>
          <w:sz w:val="30"/>
          <w:szCs w:val="30"/>
          <w:lang w:eastAsia="zh-CN"/>
        </w:rPr>
        <w:t>附表（详见样表）</w:t>
      </w:r>
      <w:r>
        <w:rPr>
          <w:rFonts w:hint="eastAsia" w:ascii="宋体" w:hAnsi="宋体" w:eastAsia="宋体" w:cs="宋体"/>
          <w:color w:val="000000"/>
          <w:kern w:val="0"/>
          <w:sz w:val="30"/>
          <w:szCs w:val="30"/>
        </w:rPr>
        <w:t xml:space="preserve">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附表1：评价数据统计范围表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附表2：研究开发费用情况归集表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附表3：技术中心高级专家和博士信息表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附表4：技术中心外部专家信息表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附表5：企业全部研发项目信息表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附表6：企业有效发明专利信息表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附表7：企业全部对外转让或许可的专利数</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8</w:t>
      </w:r>
      <w:r>
        <w:rPr>
          <w:rFonts w:hint="eastAsia" w:ascii="宋体" w:hAnsi="宋体" w:eastAsia="宋体" w:cs="宋体"/>
          <w:color w:val="000000"/>
          <w:kern w:val="0"/>
          <w:sz w:val="30"/>
          <w:szCs w:val="30"/>
        </w:rPr>
        <w:t>：最近三年主持和参加制定的标准信息表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9</w:t>
      </w:r>
      <w:r>
        <w:rPr>
          <w:rFonts w:hint="eastAsia" w:ascii="宋体" w:hAnsi="宋体" w:eastAsia="宋体" w:cs="宋体"/>
          <w:color w:val="000000"/>
          <w:kern w:val="0"/>
          <w:sz w:val="30"/>
          <w:szCs w:val="30"/>
        </w:rPr>
        <w:t>：省级及以上研发平台信息表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10</w:t>
      </w:r>
      <w:r>
        <w:rPr>
          <w:rFonts w:hint="eastAsia" w:ascii="宋体" w:hAnsi="宋体" w:eastAsia="宋体" w:cs="宋体"/>
          <w:color w:val="000000"/>
          <w:kern w:val="0"/>
          <w:sz w:val="30"/>
          <w:szCs w:val="30"/>
        </w:rPr>
        <w:t>：国家（国际组织）认证实验室和检测机构信息表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11</w:t>
      </w:r>
      <w:r>
        <w:rPr>
          <w:rFonts w:hint="eastAsia" w:ascii="宋体" w:hAnsi="宋体" w:eastAsia="宋体" w:cs="宋体"/>
          <w:color w:val="000000"/>
          <w:kern w:val="0"/>
          <w:sz w:val="30"/>
          <w:szCs w:val="30"/>
        </w:rPr>
        <w:t>：技术中心与其他机构组织合办研发机构信息表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12</w:t>
      </w:r>
      <w:r>
        <w:rPr>
          <w:rFonts w:hint="eastAsia" w:ascii="宋体" w:hAnsi="宋体" w:eastAsia="宋体" w:cs="宋体"/>
          <w:color w:val="000000"/>
          <w:kern w:val="0"/>
          <w:sz w:val="30"/>
          <w:szCs w:val="30"/>
        </w:rPr>
        <w:t>：技术中心在境外设立的研发机构信息表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13</w:t>
      </w:r>
      <w:r>
        <w:rPr>
          <w:rFonts w:hint="eastAsia" w:ascii="宋体" w:hAnsi="宋体" w:eastAsia="宋体" w:cs="宋体"/>
          <w:color w:val="000000"/>
          <w:kern w:val="0"/>
          <w:sz w:val="30"/>
          <w:szCs w:val="30"/>
        </w:rPr>
        <w:t>：近两年技术中心承担国家专项信息表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14</w:t>
      </w:r>
      <w:r>
        <w:rPr>
          <w:rFonts w:hint="eastAsia" w:ascii="宋体" w:hAnsi="宋体" w:eastAsia="宋体" w:cs="宋体"/>
          <w:color w:val="000000"/>
          <w:kern w:val="0"/>
          <w:sz w:val="30"/>
          <w:szCs w:val="30"/>
        </w:rPr>
        <w:t>：近两年获国家、省（市）部级或行业奖励信息表</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r>
        <w:rPr>
          <w:rFonts w:hint="eastAsia" w:ascii="宋体" w:hAnsi="宋体" w:eastAsia="宋体" w:cs="宋体"/>
          <w:color w:val="000000"/>
          <w:kern w:val="0"/>
          <w:sz w:val="30"/>
          <w:szCs w:val="30"/>
        </w:rPr>
        <w:t>附表15：企业技术中心绩效目标自评表</w:t>
      </w: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lang w:eastAsia="zh-CN"/>
        </w:rPr>
        <w:t>杨浦区区级</w:t>
      </w:r>
      <w:r>
        <w:rPr>
          <w:rFonts w:hint="eastAsia" w:ascii="黑体" w:hAnsi="黑体" w:eastAsia="黑体" w:cs="黑体"/>
          <w:b/>
          <w:bCs/>
          <w:color w:val="000000"/>
          <w:kern w:val="0"/>
          <w:sz w:val="36"/>
          <w:szCs w:val="36"/>
        </w:rPr>
        <w:t>企业技术中心评价表</w:t>
      </w:r>
    </w:p>
    <w:tbl>
      <w:tblPr>
        <w:tblStyle w:val="7"/>
        <w:tblW w:w="9000" w:type="dxa"/>
        <w:tblInd w:w="-252" w:type="dxa"/>
        <w:tblLayout w:type="fixed"/>
        <w:tblCellMar>
          <w:top w:w="0" w:type="dxa"/>
          <w:left w:w="108" w:type="dxa"/>
          <w:bottom w:w="0" w:type="dxa"/>
          <w:right w:w="108" w:type="dxa"/>
        </w:tblCellMar>
      </w:tblPr>
      <w:tblGrid>
        <w:gridCol w:w="720"/>
        <w:gridCol w:w="4680"/>
        <w:gridCol w:w="1106"/>
        <w:gridCol w:w="2494"/>
      </w:tblGrid>
      <w:tr>
        <w:tblPrEx>
          <w:tblLayout w:type="fixed"/>
          <w:tblCellMar>
            <w:top w:w="0" w:type="dxa"/>
            <w:left w:w="108" w:type="dxa"/>
            <w:bottom w:w="0" w:type="dxa"/>
            <w:right w:w="108" w:type="dxa"/>
          </w:tblCellMar>
        </w:tblPrEx>
        <w:trPr>
          <w:trHeight w:val="239" w:hRule="atLeast"/>
        </w:trPr>
        <w:tc>
          <w:tcPr>
            <w:tcW w:w="9000" w:type="dxa"/>
            <w:gridSpan w:val="4"/>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企业名称 </w:t>
            </w: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通讯地址 </w:t>
            </w:r>
          </w:p>
        </w:tc>
        <w:tc>
          <w:tcPr>
            <w:tcW w:w="36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企业网址 </w:t>
            </w: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所属行业 </w:t>
            </w:r>
          </w:p>
        </w:tc>
        <w:tc>
          <w:tcPr>
            <w:tcW w:w="36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主营业务 </w:t>
            </w: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企业负责人 </w:t>
            </w:r>
          </w:p>
        </w:tc>
        <w:tc>
          <w:tcPr>
            <w:tcW w:w="36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联系电话 </w:t>
            </w: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技术中心负责人 </w:t>
            </w:r>
          </w:p>
        </w:tc>
        <w:tc>
          <w:tcPr>
            <w:tcW w:w="36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联系电话 </w:t>
            </w: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联 系 人 </w:t>
            </w:r>
          </w:p>
        </w:tc>
        <w:tc>
          <w:tcPr>
            <w:tcW w:w="36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联系电话 </w:t>
            </w: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序号 </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定量数据名称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单位</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182880</wp:posOffset>
                      </wp:positionV>
                      <wp:extent cx="0" cy="6141720"/>
                      <wp:effectExtent l="5080" t="0" r="13970" b="11430"/>
                      <wp:wrapNone/>
                      <wp:docPr id="1" name="直接连接符 1"/>
                      <wp:cNvGraphicFramePr/>
                      <a:graphic xmlns:a="http://schemas.openxmlformats.org/drawingml/2006/main">
                        <a:graphicData uri="http://schemas.microsoft.com/office/word/2010/wordprocessingShape">
                          <wps:wsp>
                            <wps:cNvCnPr/>
                            <wps:spPr>
                              <a:xfrm flipH="1">
                                <a:off x="0" y="0"/>
                                <a:ext cx="0" cy="6141720"/>
                              </a:xfrm>
                              <a:prstGeom prst="line">
                                <a:avLst/>
                              </a:prstGeom>
                              <a:ln w="9525" cap="flat" cmpd="sng">
                                <a:solidFill>
                                  <a:srgbClr val="000000"/>
                                </a:solidFill>
                                <a:prstDash val="solid"/>
                                <a:headEnd type="none" w="med" len="med"/>
                                <a:tailEnd type="none" w="med" len="med"/>
                              </a:ln>
                              <a:effectLst/>
                            </wps:spPr>
                            <wps:txbx>
                              <w:txbxContent>
                                <w:p/>
                              </w:txbxContent>
                            </wps:txbx>
                            <wps:bodyPr upright="1"/>
                          </wps:wsp>
                        </a:graphicData>
                      </a:graphic>
                    </wp:anchor>
                  </w:drawing>
                </mc:Choice>
                <mc:Fallback>
                  <w:pict>
                    <v:line id="_x0000_s1026" o:spid="_x0000_s1026" o:spt="20" style="position:absolute;left:0pt;flip:x;margin-left:-5.4pt;margin-top:14.4pt;height:483.6pt;width:0pt;z-index:251658240;mso-width-relative:page;mso-height-relative:page;" filled="f" stroked="t" coordsize="21600,21600" o:gfxdata="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Nb&#10;2eTWAAAACgEAAA8AAAAAAAAAAQAgAAAAIgAAAGRycy9kb3ducmV2LnhtbFBLAQIUABQAAAAIAIdO&#10;4kC9H3pq7AEAALkDAAAOAAAAAAAAAAEAIAAAACUBAABkcnMvZTJvRG9jLnhtbFBLBQYAAAAABgAG&#10;AFkBAACDBQAAAAA=&#10;">
                      <v:fill on="f" focussize="0,0"/>
                      <v:stroke color="#000000" joinstyle="round"/>
                      <v:imagedata o:title=""/>
                      <o:lock v:ext="edit" aspectratio="f"/>
                      <v:textbox>
                        <w:txbxContent>
                          <w:p/>
                        </w:txbxContent>
                      </v:textbox>
                    </v:line>
                  </w:pict>
                </mc:Fallback>
              </mc:AlternateContent>
            </w:r>
            <w:r>
              <w:rPr>
                <w:rFonts w:ascii="仿宋" w:hAnsi="仿宋" w:eastAsia="仿宋" w:cs="Arial"/>
                <w:color w:val="000000"/>
                <w:kern w:val="0"/>
                <w:sz w:val="24"/>
              </w:rPr>
              <w:t>数据值</w:t>
            </w: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1</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企业营业收入总额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2</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企业利润总额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3</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企业上一年实缴税金总额</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4</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企业产品销售收入总额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5</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hint="eastAsia" w:ascii="仿宋" w:hAnsi="仿宋" w:eastAsia="仿宋" w:cs="Arial"/>
                <w:color w:val="000000"/>
                <w:kern w:val="0"/>
                <w:sz w:val="24"/>
                <w:lang w:eastAsia="zh-CN"/>
              </w:rPr>
              <w:t>上一年</w:t>
            </w:r>
            <w:r>
              <w:rPr>
                <w:rFonts w:ascii="仿宋" w:hAnsi="仿宋" w:eastAsia="仿宋" w:cs="Arial"/>
                <w:color w:val="000000"/>
                <w:kern w:val="0"/>
                <w:sz w:val="24"/>
              </w:rPr>
              <w:t xml:space="preserve">企业产品销售收入总额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6</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企业产品销售利润总额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7</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企业科技活动经费支出额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其中：企业研究与试验发展经费支出额</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8</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hint="eastAsia" w:ascii="仿宋" w:hAnsi="仿宋" w:eastAsia="仿宋" w:cs="Arial"/>
                <w:color w:val="000000"/>
                <w:kern w:val="0"/>
                <w:sz w:val="24"/>
                <w:lang w:eastAsia="zh-CN"/>
              </w:rPr>
              <w:t>上一年</w:t>
            </w:r>
            <w:r>
              <w:rPr>
                <w:rFonts w:ascii="仿宋" w:hAnsi="仿宋" w:eastAsia="仿宋" w:cs="Arial"/>
                <w:color w:val="000000"/>
                <w:kern w:val="0"/>
                <w:sz w:val="24"/>
              </w:rPr>
              <w:t xml:space="preserve">企业科技活动经费支出额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9</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新产品销售收入</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10</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新产品销售利润</w:t>
            </w:r>
          </w:p>
        </w:tc>
        <w:tc>
          <w:tcPr>
            <w:tcW w:w="1106" w:type="dxa"/>
            <w:tcBorders>
              <w:top w:val="single" w:color="auto" w:sz="4"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auto" w:sz="4"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11</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企业全部</w:t>
            </w:r>
            <w:r>
              <w:rPr>
                <w:rFonts w:hint="eastAsia" w:ascii="仿宋" w:hAnsi="仿宋" w:eastAsia="仿宋" w:cs="Arial"/>
                <w:color w:val="000000"/>
                <w:kern w:val="0"/>
                <w:sz w:val="24"/>
                <w:lang w:eastAsia="zh-CN"/>
              </w:rPr>
              <w:t>研发</w:t>
            </w:r>
            <w:r>
              <w:rPr>
                <w:rFonts w:ascii="仿宋" w:hAnsi="仿宋" w:eastAsia="仿宋" w:cs="Arial"/>
                <w:color w:val="000000"/>
                <w:kern w:val="0"/>
                <w:sz w:val="24"/>
              </w:rPr>
              <w:t xml:space="preserve">项目数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firstLine="480"/>
              <w:jc w:val="center"/>
              <w:rPr>
                <w:rFonts w:ascii="仿宋" w:hAnsi="仿宋" w:eastAsia="仿宋" w:cs="Arial"/>
                <w:color w:val="000000"/>
                <w:kern w:val="0"/>
                <w:sz w:val="24"/>
              </w:rPr>
            </w:pPr>
            <w:r>
              <w:rPr>
                <w:rFonts w:ascii="仿宋" w:hAnsi="仿宋" w:eastAsia="仿宋" w:cs="Arial"/>
                <w:color w:val="000000"/>
                <w:kern w:val="0"/>
                <w:sz w:val="24"/>
              </w:rPr>
              <w:t>其中：研发周期三年及以上的项目数</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firstLine="480"/>
              <w:jc w:val="center"/>
              <w:rPr>
                <w:rFonts w:ascii="仿宋" w:hAnsi="仿宋" w:eastAsia="仿宋" w:cs="Arial"/>
                <w:color w:val="000000"/>
                <w:kern w:val="0"/>
                <w:sz w:val="24"/>
              </w:rPr>
            </w:pPr>
            <w:r>
              <w:rPr>
                <w:rFonts w:ascii="仿宋" w:hAnsi="仿宋" w:eastAsia="仿宋" w:cs="Arial"/>
                <w:color w:val="000000"/>
                <w:kern w:val="0"/>
                <w:sz w:val="24"/>
              </w:rPr>
              <w:t>其中：对外合作项目数</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12</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企业自有品牌产品与技术出口创汇额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万美元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13</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企业技术开发仪器设备原值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14</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企业职工总数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人</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hint="eastAsia" w:ascii="仿宋" w:hAnsi="仿宋" w:eastAsia="仿宋" w:cs="Arial"/>
                <w:color w:val="000000"/>
                <w:kern w:val="0"/>
                <w:sz w:val="24"/>
                <w:lang w:eastAsia="zh-CN"/>
              </w:rPr>
              <w:t>其中：</w:t>
            </w:r>
            <w:r>
              <w:rPr>
                <w:rFonts w:ascii="仿宋" w:hAnsi="仿宋" w:eastAsia="仿宋" w:cs="Arial"/>
                <w:color w:val="000000"/>
                <w:kern w:val="0"/>
                <w:sz w:val="24"/>
              </w:rPr>
              <w:t>技术中心职工人数</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人</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15</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hint="eastAsia" w:ascii="仿宋" w:hAnsi="仿宋" w:eastAsia="仿宋" w:cs="Arial"/>
                <w:color w:val="000000"/>
                <w:kern w:val="0"/>
                <w:sz w:val="24"/>
                <w:lang w:eastAsia="zh-CN"/>
              </w:rPr>
            </w:pPr>
            <w:r>
              <w:rPr>
                <w:rFonts w:ascii="仿宋" w:hAnsi="仿宋" w:eastAsia="仿宋" w:cs="Arial"/>
                <w:color w:val="000000"/>
                <w:kern w:val="0"/>
                <w:sz w:val="24"/>
              </w:rPr>
              <w:t xml:space="preserve">企业全体职工年收入总额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147"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其中：企业技术中心全体人员年收入总额</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16</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hint="eastAsia" w:ascii="仿宋" w:hAnsi="仿宋" w:eastAsia="仿宋" w:cs="Arial"/>
                <w:color w:val="000000"/>
                <w:kern w:val="0"/>
                <w:sz w:val="24"/>
                <w:lang w:eastAsia="zh-CN"/>
              </w:rPr>
              <w:t>技术中心人员培训费</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hint="eastAsia" w:ascii="仿宋" w:hAnsi="仿宋" w:eastAsia="仿宋" w:cs="Arial"/>
                <w:color w:val="000000"/>
                <w:kern w:val="0"/>
                <w:sz w:val="24"/>
                <w:lang w:val="en-US" w:eastAsia="zh-CN"/>
              </w:rPr>
              <w:t>17</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技术中心高级专家人数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人</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 xml:space="preserve">其中：技术中心博士人数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人</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hint="eastAsia" w:ascii="仿宋" w:hAnsi="仿宋" w:eastAsia="仿宋" w:cs="Arial"/>
                <w:color w:val="000000"/>
                <w:kern w:val="0"/>
                <w:sz w:val="24"/>
                <w:lang w:val="en-US" w:eastAsia="zh-CN"/>
              </w:rPr>
              <w:t>18</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来技术中心从事研发工作的外部专家人数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人月</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19</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企业技术中心高中级人才流入流出情况</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人</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hint="eastAsia" w:ascii="仿宋" w:hAnsi="仿宋" w:eastAsia="仿宋" w:cs="Arial"/>
                <w:color w:val="000000"/>
                <w:kern w:val="0"/>
                <w:sz w:val="24"/>
                <w:lang w:eastAsia="zh-CN"/>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20</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技术中心在海外设立开发设计机构数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21</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技术中心与其他组织合办开发机构数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22</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通过国家和国际组织认证实验室数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hint="eastAsia" w:ascii="仿宋" w:hAnsi="仿宋" w:eastAsia="仿宋" w:cs="Arial"/>
                <w:color w:val="000000"/>
                <w:kern w:val="0"/>
                <w:sz w:val="24"/>
                <w:lang w:val="en-US" w:eastAsia="zh-CN"/>
              </w:rPr>
              <w:t>23</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企业拥有的全部有效发明专利数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24</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当年被受理的专利申请数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firstLine="480"/>
              <w:jc w:val="center"/>
              <w:rPr>
                <w:rFonts w:ascii="仿宋" w:hAnsi="仿宋" w:eastAsia="仿宋" w:cs="Arial"/>
                <w:color w:val="000000"/>
                <w:kern w:val="0"/>
                <w:sz w:val="24"/>
              </w:rPr>
            </w:pPr>
            <w:r>
              <w:rPr>
                <w:rFonts w:ascii="仿宋" w:hAnsi="仿宋" w:eastAsia="仿宋" w:cs="Arial"/>
                <w:color w:val="000000"/>
                <w:kern w:val="0"/>
                <w:sz w:val="24"/>
              </w:rPr>
              <w:t>其中：被受理的发明专利申请数</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25</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企业拥有注册商标数</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26</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企业获得的市级以上的名牌产品数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27</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 xml:space="preserve">企业获得的驰名和著名商标数 </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28</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ascii="仿宋" w:hAnsi="仿宋" w:eastAsia="仿宋" w:cs="Arial"/>
                <w:color w:val="000000"/>
                <w:kern w:val="0"/>
                <w:sz w:val="24"/>
              </w:rPr>
              <w:t>最近三年主持和参加制定的国际、国家、行业标准数</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29</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企业发表科技论文数</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30</w:t>
            </w:r>
          </w:p>
        </w:tc>
        <w:tc>
          <w:tcPr>
            <w:tcW w:w="4680" w:type="dxa"/>
            <w:tcBorders>
              <w:top w:val="single" w:color="000000" w:sz="8" w:space="0"/>
              <w:left w:val="single" w:color="000000" w:sz="8"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rPr>
                <w:rFonts w:ascii="仿宋" w:hAnsi="仿宋" w:eastAsia="仿宋" w:cs="Arial"/>
                <w:color w:val="000000"/>
                <w:kern w:val="0"/>
                <w:sz w:val="24"/>
              </w:rPr>
            </w:pPr>
            <w:r>
              <w:rPr>
                <w:rFonts w:hint="eastAsia" w:ascii="仿宋" w:hAnsi="仿宋" w:eastAsia="仿宋" w:cs="Arial"/>
                <w:color w:val="000000"/>
                <w:kern w:val="0"/>
                <w:sz w:val="24"/>
              </w:rPr>
              <w:t>获国家（省）自然科学、技术发明、科技进步奖项目</w:t>
            </w:r>
            <w:r>
              <w:rPr>
                <w:rFonts w:hint="eastAsia" w:ascii="仿宋" w:hAnsi="仿宋" w:eastAsia="仿宋" w:cs="Arial"/>
                <w:color w:val="000000"/>
                <w:kern w:val="0"/>
                <w:sz w:val="24"/>
                <w:lang w:eastAsia="zh-CN"/>
              </w:rPr>
              <w:t>数</w:t>
            </w:r>
          </w:p>
        </w:tc>
        <w:tc>
          <w:tcPr>
            <w:tcW w:w="1106" w:type="dxa"/>
            <w:tcBorders>
              <w:top w:val="single" w:color="000000" w:sz="8" w:space="0"/>
              <w:left w:val="single" w:color="000000" w:sz="8" w:space="0"/>
              <w:bottom w:val="single" w:color="000000" w:sz="8" w:space="0"/>
              <w:right w:val="single" w:color="auto" w:sz="4" w:space="0"/>
            </w:tcBorders>
            <w:vAlign w:val="top"/>
          </w:tcPr>
          <w:p>
            <w:pPr>
              <w:pageBreakBefore w:val="0"/>
              <w:widowControl/>
              <w:kinsoku/>
              <w:wordWrap/>
              <w:overflowPunct/>
              <w:topLinePunct w:val="0"/>
              <w:autoSpaceDE/>
              <w:autoSpaceDN/>
              <w:bidi w:val="0"/>
              <w:adjustRightInd/>
              <w:snapToGrid/>
              <w:spacing w:line="240" w:lineRule="auto"/>
              <w:ind w:left="0" w:leftChars="0"/>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 w:hAnsi="仿宋" w:eastAsia="仿宋" w:cs="Arial"/>
                <w:color w:val="000000"/>
                <w:kern w:val="0"/>
                <w:sz w:val="24"/>
              </w:rPr>
            </w:pPr>
          </w:p>
        </w:tc>
      </w:tr>
    </w:tbl>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rPr>
        <w:t xml:space="preserve">指标解释和填报说明 </w:t>
      </w: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color w:val="000000"/>
          <w:kern w:val="0"/>
          <w:sz w:val="36"/>
          <w:szCs w:val="36"/>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1、报告年度：评价表中指标统计年度，时间范围从填写评价表的上一年1月1日到12月31日。所有指标的填报时间范围，如无特殊指明，均为报告年度。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2、企业营业收入总额：指技术中心所在企业总部和其下属分公司、子公司、控股企业（按实际控投权）等应该列入会计合并报表范围的所有企业的营业收入（销售收入），经按合并报表原则处理后的合并营业收入。包括工业性企业产品销售收入、房地产与旅游酒店服务等第三产业的营业收入。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3、企业利润总额：指企业生产经营过程中各种收入扣除各种消耗后的盈余。反映企业在报告期内实现的盈亏总额（亏损以“-”号表示）。包括企业的营业利润补贴收入，各种投资净收益和营业外收支净额。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4、企业产品销售收入总额：指企业销售产成品、试制半成品的收入和提供工业性劳务收入总额。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5、企业产品销售利润总额：指企业销售收入扣除成本、费用、税金后余额。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6、企业科技活动经费支出额：指企业实际支出的全部科技活动费用，包括列入技术开发的经费支出以及技术改造等资金实际用于科技活动的支出。不包括生产性支出和归还贷款支出。科技活动经费支出总额分为内部支出和外部支出。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科技活动经费内部支出：指企业用于内部开展科技活动实际支出的费用，包括外协加工费。不包括委托研制或合作研制而支付外单位的经费。科技经费内部支出按用途分为科技活动人员劳务费、原材料费、赎买自制设备支出、其他支出。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科技活动经费外部支出：指企业委托其他单位或与其他单位合作开展科技活动而支付给其他单位的经费，不包括外协加工费。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7、企业研究与试验发展经费支出额：指在企业科技活动经费内部支出中用于基础研究、应用研究和试验发展三类项目以及这三类项目的管理和服务费用的支出。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8、企业全部</w:t>
      </w:r>
      <w:r>
        <w:rPr>
          <w:rFonts w:hint="eastAsia" w:ascii="宋体" w:hAnsi="宋体" w:eastAsia="宋体" w:cs="宋体"/>
          <w:color w:val="000000"/>
          <w:kern w:val="0"/>
          <w:sz w:val="30"/>
          <w:szCs w:val="30"/>
          <w:lang w:eastAsia="zh-CN"/>
        </w:rPr>
        <w:t>研发</w:t>
      </w:r>
      <w:r>
        <w:rPr>
          <w:rFonts w:hint="eastAsia" w:ascii="宋体" w:hAnsi="宋体" w:eastAsia="宋体" w:cs="宋体"/>
          <w:color w:val="000000"/>
          <w:kern w:val="0"/>
          <w:sz w:val="30"/>
          <w:szCs w:val="30"/>
        </w:rPr>
        <w:t xml:space="preserve">项目数：指企业立项并开展研发（制）工作、以前年份立项（当年）仍继续进行研发（制）的科技项目，包括当年完成、年内仍在进行、年内研发工作已告失败的项目，不包括委托外单位进行研发的项目。从开发项目的性质看，包括新产品开发项目数、新技术开发项目数、新工艺开发项目数、新服务开发项目数与基础研究项目数之和。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研发周期三年及以上的项目数：指研究开发周期在三年以上（含三年）的技术开发项目数。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对外合作项目数：指企业与高等学校、科研院所及其他企业联合开展的科技项目数。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9</w:t>
      </w:r>
      <w:r>
        <w:rPr>
          <w:rFonts w:hint="eastAsia" w:ascii="宋体" w:hAnsi="宋体" w:eastAsia="宋体" w:cs="宋体"/>
          <w:color w:val="000000"/>
          <w:kern w:val="0"/>
          <w:sz w:val="30"/>
          <w:szCs w:val="30"/>
        </w:rPr>
        <w:t xml:space="preserve">、新产品销售收入：新产品销售收入指报告期本企业销售新产品实现的销售收入。新产品销售收入是产品销售收入的组成部分，计算口径与产品销售收入一致。新产品即包括经政府有关部门认定并在有效期内的新产品，也包括企业自行研制开发，未经政府有关部门认定，从投产之日起一年之内的新产品。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新产品：指采用新技术原理、新设计构思研制、生产的全新产品，或在结构、材质、工艺等某一方面比原有产品有明显改进，从而显著提高了产品性能或扩大了使用功能的产品。新产品包括全新型新产品和重大改进型新产品二大类。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全新型新产品：指与以前制造的产品相比，其用途或者技术设计和材料三者都有显著变化的产品。这些创新可以涉及到全新的技术，也可以基于组合现有技术新的应用，或者源于新的知识的应用。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重大改进型新产品：指在原有产品的基础上，产品性能得到显著提高或者重大改进的产品。若产品的改变仅仅是在美学上（外观、颜色、图案设计、包装等）的改变及技术上的较小的变化，属于产品差异，不作为新产品统计。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w:t>
      </w:r>
      <w:r>
        <w:rPr>
          <w:rFonts w:hint="eastAsia" w:ascii="宋体" w:hAnsi="宋体" w:eastAsia="宋体" w:cs="宋体"/>
          <w:color w:val="000000"/>
          <w:kern w:val="0"/>
          <w:sz w:val="30"/>
          <w:szCs w:val="30"/>
          <w:lang w:val="en-US" w:eastAsia="zh-CN"/>
        </w:rPr>
        <w:t>0</w:t>
      </w:r>
      <w:r>
        <w:rPr>
          <w:rFonts w:hint="eastAsia" w:ascii="宋体" w:hAnsi="宋体" w:eastAsia="宋体" w:cs="宋体"/>
          <w:color w:val="000000"/>
          <w:kern w:val="0"/>
          <w:sz w:val="30"/>
          <w:szCs w:val="30"/>
        </w:rPr>
        <w:t xml:space="preserve">、新产品销售利润：指企业销售新产品所实现的利润。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w:t>
      </w:r>
      <w:r>
        <w:rPr>
          <w:rFonts w:hint="eastAsia" w:ascii="宋体" w:hAnsi="宋体" w:eastAsia="宋体" w:cs="宋体"/>
          <w:color w:val="000000"/>
          <w:kern w:val="0"/>
          <w:sz w:val="30"/>
          <w:szCs w:val="30"/>
          <w:lang w:val="en-US" w:eastAsia="zh-CN"/>
        </w:rPr>
        <w:t>1</w:t>
      </w:r>
      <w:r>
        <w:rPr>
          <w:rFonts w:hint="eastAsia" w:ascii="宋体" w:hAnsi="宋体" w:eastAsia="宋体" w:cs="宋体"/>
          <w:color w:val="000000"/>
          <w:kern w:val="0"/>
          <w:sz w:val="30"/>
          <w:szCs w:val="30"/>
        </w:rPr>
        <w:t>、企业技术开发仪器设备原值：</w:t>
      </w:r>
      <w:bookmarkStart w:id="4" w:name="OLE_LINK18"/>
      <w:bookmarkStart w:id="5" w:name="OLE_LINK17"/>
      <w:r>
        <w:rPr>
          <w:rFonts w:hint="eastAsia" w:ascii="宋体" w:hAnsi="宋体" w:eastAsia="宋体" w:cs="宋体"/>
          <w:color w:val="000000"/>
          <w:kern w:val="0"/>
          <w:sz w:val="30"/>
          <w:szCs w:val="30"/>
        </w:rPr>
        <w:t>指报告年度末</w:t>
      </w:r>
      <w:bookmarkEnd w:id="4"/>
      <w:bookmarkEnd w:id="5"/>
      <w:r>
        <w:rPr>
          <w:rFonts w:hint="eastAsia" w:ascii="宋体" w:hAnsi="宋体" w:eastAsia="宋体" w:cs="宋体"/>
          <w:color w:val="000000"/>
          <w:kern w:val="0"/>
          <w:sz w:val="30"/>
          <w:szCs w:val="30"/>
        </w:rPr>
        <w:t>企业用于研发的固定资产中的仪器和设备原价。其中，设备包括用于研发活动的各类机器和设备、试验测量仪器、运输工具、工装工具等。</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w:t>
      </w:r>
      <w:r>
        <w:rPr>
          <w:rFonts w:hint="eastAsia" w:ascii="宋体" w:hAnsi="宋体" w:eastAsia="宋体" w:cs="宋体"/>
          <w:color w:val="000000"/>
          <w:kern w:val="0"/>
          <w:sz w:val="30"/>
          <w:szCs w:val="30"/>
          <w:lang w:val="en-US" w:eastAsia="zh-CN"/>
        </w:rPr>
        <w:t>2</w:t>
      </w:r>
      <w:r>
        <w:rPr>
          <w:rFonts w:hint="eastAsia" w:ascii="宋体" w:hAnsi="宋体" w:eastAsia="宋体" w:cs="宋体"/>
          <w:color w:val="000000"/>
          <w:kern w:val="0"/>
          <w:sz w:val="30"/>
          <w:szCs w:val="30"/>
        </w:rPr>
        <w:t xml:space="preserve">、企业职工年收入总额：指企业在册全部职工一年的货币收入的总额。包括职工工资、福利费、奖金、政策补贴、项目提成等各项货币收入的总和。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w:t>
      </w:r>
      <w:r>
        <w:rPr>
          <w:rFonts w:hint="eastAsia" w:ascii="宋体" w:hAnsi="宋体" w:eastAsia="宋体" w:cs="宋体"/>
          <w:color w:val="000000"/>
          <w:kern w:val="0"/>
          <w:sz w:val="30"/>
          <w:szCs w:val="30"/>
          <w:lang w:val="en-US" w:eastAsia="zh-CN"/>
        </w:rPr>
        <w:t>3</w:t>
      </w:r>
      <w:r>
        <w:rPr>
          <w:rFonts w:hint="eastAsia" w:ascii="宋体" w:hAnsi="宋体" w:eastAsia="宋体" w:cs="宋体"/>
          <w:color w:val="000000"/>
          <w:kern w:val="0"/>
          <w:sz w:val="30"/>
          <w:szCs w:val="30"/>
        </w:rPr>
        <w:t>、企业职工总数</w:t>
      </w:r>
      <w:r>
        <w:rPr>
          <w:rFonts w:hint="eastAsia" w:ascii="宋体" w:hAnsi="宋体" w:eastAsia="宋体" w:cs="宋体"/>
          <w:color w:val="000000"/>
          <w:kern w:val="0"/>
          <w:sz w:val="30"/>
          <w:szCs w:val="30"/>
          <w:lang w:eastAsia="zh-CN"/>
        </w:rPr>
        <w:t>：</w:t>
      </w:r>
      <w:r>
        <w:rPr>
          <w:rFonts w:hint="eastAsia" w:ascii="宋体" w:hAnsi="宋体" w:eastAsia="宋体" w:cs="宋体"/>
          <w:color w:val="000000"/>
          <w:kern w:val="0"/>
          <w:sz w:val="30"/>
          <w:szCs w:val="30"/>
        </w:rPr>
        <w:t>指企业在报告年度内平均拥有的从业人员数，按照统计指标“从业人员平均人数”计算。</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14、</w:t>
      </w:r>
      <w:r>
        <w:rPr>
          <w:rFonts w:hint="eastAsia" w:ascii="宋体" w:hAnsi="宋体" w:eastAsia="宋体" w:cs="宋体"/>
          <w:color w:val="000000"/>
          <w:kern w:val="0"/>
          <w:sz w:val="30"/>
          <w:szCs w:val="30"/>
        </w:rPr>
        <w:t xml:space="preserve">技术中心职工人数：在技术中心工作并取得劳动报酬的从业人员年平均数。包括技术中心科研开发人员、直接管理人员和直接为其服务的人员等。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15</w:t>
      </w:r>
      <w:r>
        <w:rPr>
          <w:rFonts w:hint="eastAsia" w:ascii="宋体" w:hAnsi="宋体" w:eastAsia="宋体" w:cs="宋体"/>
          <w:color w:val="000000"/>
          <w:kern w:val="0"/>
          <w:sz w:val="30"/>
          <w:szCs w:val="30"/>
        </w:rPr>
        <w:t xml:space="preserve">、技术中心人员培训费：指技术中心工作人员在国内、海外地区接受继续教育和专项培训的费用总支出。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16</w:t>
      </w:r>
      <w:r>
        <w:rPr>
          <w:rFonts w:hint="eastAsia" w:ascii="宋体" w:hAnsi="宋体" w:eastAsia="宋体" w:cs="宋体"/>
          <w:color w:val="000000"/>
          <w:kern w:val="0"/>
          <w:sz w:val="30"/>
          <w:szCs w:val="30"/>
        </w:rPr>
        <w:t xml:space="preserve">、技术中心全体职工年收入总额：指技术中心在册全体工作人员的年货币总收入，包括工资、福利费、奖金、政策补贴、项目提成等各项收入的总和。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17</w:t>
      </w:r>
      <w:r>
        <w:rPr>
          <w:rFonts w:hint="eastAsia" w:ascii="宋体" w:hAnsi="宋体" w:eastAsia="宋体" w:cs="宋体"/>
          <w:color w:val="000000"/>
          <w:kern w:val="0"/>
          <w:sz w:val="30"/>
          <w:szCs w:val="30"/>
        </w:rPr>
        <w:t xml:space="preserve">、技术中心高级专家人数：指截至报告年度末全职在技术中心工作、获得国家、省、部等政府部门认定的有突出贡献的专家或者享受国家、省、部专项津贴，或具有高级职称的专家人数（含高级、正高级工程师）、高级技师以及其他类型专家（包括市级以上领军人才、千人计划、浦江人才、上海市优秀学术带头人、上海市青年科技启明星计划、扬帆计划等）。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18</w:t>
      </w:r>
      <w:r>
        <w:rPr>
          <w:rFonts w:hint="eastAsia" w:ascii="宋体" w:hAnsi="宋体" w:eastAsia="宋体" w:cs="宋体"/>
          <w:color w:val="000000"/>
          <w:kern w:val="0"/>
          <w:sz w:val="30"/>
          <w:szCs w:val="30"/>
        </w:rPr>
        <w:t xml:space="preserve">、技术中心博士人数：指全职在技术中心工作、获得博士学位的人员数。博士后可以作为博士进行统计。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19</w:t>
      </w:r>
      <w:r>
        <w:rPr>
          <w:rFonts w:hint="eastAsia" w:ascii="宋体" w:hAnsi="宋体" w:eastAsia="宋体" w:cs="宋体"/>
          <w:color w:val="000000"/>
          <w:kern w:val="0"/>
          <w:sz w:val="30"/>
          <w:szCs w:val="30"/>
        </w:rPr>
        <w:t>、来技术中心从事开发工作的外部专家人数：指截至报告年度末来技术中心从事研究、技术开发工作的具有较高科技开发能力的海内外专家累计人月。最小统计单位为：0.5人月。（注：1人月指一个人在报告年度内工作满22个工作日）。</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20.企业全部研发项目数：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其中，基础研究和应用研究项目数：指企业全部研发项目中主要以科学原理的探索与发现、技术原理的研究为目标的项目数。</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21.研发平台数：指企业作为项目法人承担建设、国家或省级有关部门归口管理且已经获得批复的科技类、研究开发类平台数。</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22</w:t>
      </w:r>
      <w:r>
        <w:rPr>
          <w:rFonts w:hint="eastAsia" w:ascii="宋体" w:hAnsi="宋体" w:eastAsia="宋体" w:cs="宋体"/>
          <w:color w:val="000000"/>
          <w:kern w:val="0"/>
          <w:sz w:val="30"/>
          <w:szCs w:val="30"/>
        </w:rPr>
        <w:t xml:space="preserve">、技术中心在海外设立开发设计机构数：指技术中心在港澳台地区及国外设立以科研开发、设计为目的的开发机构数量。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23</w:t>
      </w:r>
      <w:r>
        <w:rPr>
          <w:rFonts w:hint="eastAsia" w:ascii="宋体" w:hAnsi="宋体" w:eastAsia="宋体" w:cs="宋体"/>
          <w:color w:val="000000"/>
          <w:kern w:val="0"/>
          <w:sz w:val="30"/>
          <w:szCs w:val="30"/>
        </w:rPr>
        <w:t xml:space="preserve">、技术中心与其他组织合办开发机构数：指技术中心与高校、研究院所、其他企业联合设立的以科研开发设计为目的的组织机构数量。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24</w:t>
      </w:r>
      <w:r>
        <w:rPr>
          <w:rFonts w:hint="eastAsia" w:ascii="宋体" w:hAnsi="宋体" w:eastAsia="宋体" w:cs="宋体"/>
          <w:color w:val="000000"/>
          <w:kern w:val="0"/>
          <w:sz w:val="30"/>
          <w:szCs w:val="30"/>
        </w:rPr>
        <w:t xml:space="preserve">、国家和国际组织认证的实验室数：指中华人民共和国有关国家部门和国际组织认定认证的、仍在有效期内的实验室、检测中心的数量。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25</w:t>
      </w:r>
      <w:r>
        <w:rPr>
          <w:rFonts w:hint="eastAsia" w:ascii="宋体" w:hAnsi="宋体" w:eastAsia="宋体" w:cs="宋体"/>
          <w:color w:val="000000"/>
          <w:kern w:val="0"/>
          <w:sz w:val="30"/>
          <w:szCs w:val="30"/>
        </w:rPr>
        <w:t xml:space="preserve">、企业拥有的全部有效发明专利数：指企业作为专利权人拥有专利权属、经国内外专利机构授权且在有效期内的全部发明专利件数。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26</w:t>
      </w:r>
      <w:r>
        <w:rPr>
          <w:rFonts w:hint="eastAsia" w:ascii="宋体" w:hAnsi="宋体" w:eastAsia="宋体" w:cs="宋体"/>
          <w:color w:val="000000"/>
          <w:kern w:val="0"/>
          <w:sz w:val="30"/>
          <w:szCs w:val="30"/>
        </w:rPr>
        <w:t xml:space="preserve">、最近三年主持和参加制定的国际、国家、行业标准数：指企业在报告年度、报告年度前一年、报告年度前二年主持或参与制定，目前仍有效执行的国际、国家、行业标准的数量。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27</w:t>
      </w:r>
      <w:r>
        <w:rPr>
          <w:rFonts w:hint="eastAsia" w:ascii="宋体" w:hAnsi="宋体" w:eastAsia="宋体" w:cs="宋体"/>
          <w:color w:val="000000"/>
          <w:kern w:val="0"/>
          <w:sz w:val="30"/>
          <w:szCs w:val="30"/>
        </w:rPr>
        <w:t>、企业获得的驰名和著名商标数：指企业拥有的国家工商行政管理总局评定的中国驰名商标数和上海市工商管理局评定的上海市著名商标数。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28</w:t>
      </w:r>
      <w:r>
        <w:rPr>
          <w:rFonts w:hint="eastAsia" w:ascii="宋体" w:hAnsi="宋体" w:eastAsia="宋体" w:cs="宋体"/>
          <w:color w:val="000000"/>
          <w:kern w:val="0"/>
          <w:sz w:val="30"/>
          <w:szCs w:val="30"/>
        </w:rPr>
        <w:t xml:space="preserve">、企业获得的市级以上名牌产品数：指企业拥有的国家质量监督检验检疫总局评定的中国名牌产品数和上海市质量技术监督局评定的上海市名牌产品数。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29</w:t>
      </w:r>
      <w:r>
        <w:rPr>
          <w:rFonts w:hint="eastAsia" w:ascii="宋体" w:hAnsi="宋体" w:eastAsia="宋体" w:cs="宋体"/>
          <w:color w:val="000000"/>
          <w:kern w:val="0"/>
          <w:sz w:val="30"/>
          <w:szCs w:val="30"/>
        </w:rPr>
        <w:t>、获国家自然科学、技术发明、科技进步奖项目数：指企业获得国家自然科学奖、国家技术发明奖和国家科技进步奖及上海市级的科技类奖项的总数。</w:t>
      </w: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color w:val="000000"/>
          <w:kern w:val="0"/>
          <w:sz w:val="36"/>
          <w:szCs w:val="36"/>
        </w:rPr>
      </w:pP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color w:val="000000"/>
          <w:kern w:val="0"/>
          <w:sz w:val="36"/>
          <w:szCs w:val="36"/>
        </w:rPr>
      </w:pP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color w:val="000000"/>
          <w:kern w:val="0"/>
          <w:sz w:val="36"/>
          <w:szCs w:val="36"/>
        </w:rPr>
      </w:pP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color w:val="000000"/>
          <w:kern w:val="0"/>
          <w:sz w:val="36"/>
          <w:szCs w:val="36"/>
        </w:rPr>
      </w:pP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color w:val="000000"/>
          <w:kern w:val="0"/>
          <w:sz w:val="36"/>
          <w:szCs w:val="36"/>
        </w:rPr>
      </w:pP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rPr>
        <w:t>需提供的附件及证明材料</w:t>
      </w:r>
    </w:p>
    <w:p>
      <w:pPr>
        <w:pageBreakBefore w:val="0"/>
        <w:widowControl/>
        <w:kinsoku/>
        <w:wordWrap/>
        <w:overflowPunct/>
        <w:topLinePunct w:val="0"/>
        <w:autoSpaceDE/>
        <w:autoSpaceDN/>
        <w:bidi w:val="0"/>
        <w:adjustRightInd/>
        <w:snapToGrid/>
        <w:spacing w:line="240" w:lineRule="auto"/>
        <w:ind w:left="0" w:leftChars="0"/>
        <w:jc w:val="center"/>
        <w:rPr>
          <w:rFonts w:hint="eastAsia" w:ascii="黑体" w:hAnsi="黑体" w:eastAsia="黑体" w:cs="黑体"/>
          <w:b/>
          <w:bCs/>
          <w:color w:val="000000"/>
          <w:kern w:val="0"/>
          <w:sz w:val="10"/>
          <w:szCs w:val="1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1、列入国家统计局大中型工业企业科技活动情况统计范围的企业应提供大中型工业企业科技项目一览表（B107-1）、大中型工业企业科技活动情况表（B107-2）。未列入国家统计局大中型工业企业科技活动情况统计范围的企业应参照上述两个表的格式填报后提交。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2、企业资产负债表、损益表、现金流量表的复印件。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3、大型企业集团应将下属企业的（B107-1、B107-2）表合并填报，资产负债表、损益表、现金流量表进行合并填报。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4、评价指标的必要证明材料，主要包括：技术中心高级专家和外部专家、对外合作项目、研发周期三年及以上的项目、在研和完成的全部科技项目、发明专利、参与制定的标准、国家认证实验室、驰名商标、中国名牌产品、科技奖励等方面的内容。 </w:t>
      </w: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widowControl/>
        <w:kinsoku/>
        <w:wordWrap/>
        <w:overflowPunct/>
        <w:topLinePunct w:val="0"/>
        <w:autoSpaceDE/>
        <w:autoSpaceDN/>
        <w:bidi w:val="0"/>
        <w:adjustRightInd/>
        <w:snapToGrid/>
        <w:spacing w:line="240" w:lineRule="auto"/>
        <w:ind w:left="0" w:leftChars="0" w:firstLine="600" w:firstLineChars="200"/>
        <w:rPr>
          <w:rFonts w:hint="eastAsia" w:ascii="仿宋" w:hAnsi="仿宋" w:eastAsia="仿宋" w:cs="Arial"/>
          <w:color w:val="000000"/>
          <w:kern w:val="0"/>
          <w:sz w:val="30"/>
          <w:szCs w:val="30"/>
        </w:rPr>
      </w:pPr>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b/>
          <w:sz w:val="30"/>
          <w:szCs w:val="30"/>
        </w:rPr>
      </w:pPr>
      <w:r>
        <w:rPr>
          <w:rFonts w:hint="eastAsia" w:ascii="仿宋_GB2312" w:eastAsia="仿宋_GB2312" w:cs="黑体"/>
          <w:b/>
          <w:color w:val="000000"/>
          <w:kern w:val="0"/>
          <w:sz w:val="30"/>
          <w:szCs w:val="30"/>
        </w:rPr>
        <w:t>附表</w:t>
      </w:r>
      <w:r>
        <w:rPr>
          <w:rFonts w:hint="eastAsia" w:ascii="仿宋_GB2312" w:eastAsia="仿宋_GB2312"/>
          <w:b/>
          <w:color w:val="000000"/>
          <w:kern w:val="0"/>
          <w:sz w:val="30"/>
          <w:szCs w:val="30"/>
        </w:rPr>
        <w:t>1</w:t>
      </w:r>
      <w:r>
        <w:rPr>
          <w:rFonts w:hint="eastAsia" w:ascii="仿宋_GB2312" w:eastAsia="仿宋_GB2312" w:cs="黑体"/>
          <w:b/>
          <w:color w:val="000000"/>
          <w:kern w:val="0"/>
          <w:sz w:val="30"/>
          <w:szCs w:val="30"/>
        </w:rPr>
        <w:t>：评价数据统计范围表</w:t>
      </w:r>
      <w:bookmarkEnd w:id="3"/>
    </w:p>
    <w:tbl>
      <w:tblPr>
        <w:tblStyle w:val="7"/>
        <w:tblW w:w="9073" w:type="dxa"/>
        <w:jc w:val="center"/>
        <w:tblInd w:w="0" w:type="dxa"/>
        <w:tblLayout w:type="fixed"/>
        <w:tblCellMar>
          <w:top w:w="0" w:type="dxa"/>
          <w:left w:w="108" w:type="dxa"/>
          <w:bottom w:w="0" w:type="dxa"/>
          <w:right w:w="108" w:type="dxa"/>
        </w:tblCellMar>
      </w:tblPr>
      <w:tblGrid>
        <w:gridCol w:w="1080"/>
        <w:gridCol w:w="3760"/>
        <w:gridCol w:w="2560"/>
        <w:gridCol w:w="1673"/>
      </w:tblGrid>
      <w:tr>
        <w:tblPrEx>
          <w:tblLayout w:type="fixed"/>
          <w:tblCellMar>
            <w:top w:w="0" w:type="dxa"/>
            <w:left w:w="108" w:type="dxa"/>
            <w:bottom w:w="0" w:type="dxa"/>
            <w:right w:w="108" w:type="dxa"/>
          </w:tblCellMar>
        </w:tblPrEx>
        <w:trPr>
          <w:trHeight w:val="20" w:hRule="atLeast"/>
          <w:jc w:val="center"/>
        </w:trPr>
        <w:tc>
          <w:tcPr>
            <w:tcW w:w="484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企业技术中心所在企业名称</w:t>
            </w:r>
          </w:p>
        </w:tc>
        <w:tc>
          <w:tcPr>
            <w:tcW w:w="4233" w:type="dxa"/>
            <w:gridSpan w:val="2"/>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编号</w:t>
            </w:r>
          </w:p>
        </w:tc>
        <w:tc>
          <w:tcPr>
            <w:tcW w:w="3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下属企业名称</w:t>
            </w:r>
          </w:p>
        </w:tc>
        <w:tc>
          <w:tcPr>
            <w:tcW w:w="25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所在地（或注册地）</w:t>
            </w:r>
          </w:p>
        </w:tc>
        <w:tc>
          <w:tcPr>
            <w:tcW w:w="167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隶属关系</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1</w:t>
            </w:r>
          </w:p>
        </w:tc>
        <w:tc>
          <w:tcPr>
            <w:tcW w:w="3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25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67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2</w:t>
            </w:r>
          </w:p>
        </w:tc>
        <w:tc>
          <w:tcPr>
            <w:tcW w:w="3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25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67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w:t>
            </w:r>
          </w:p>
        </w:tc>
        <w:tc>
          <w:tcPr>
            <w:tcW w:w="3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25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67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n</w:t>
            </w:r>
          </w:p>
        </w:tc>
        <w:tc>
          <w:tcPr>
            <w:tcW w:w="37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25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67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r>
      <w:tr>
        <w:tblPrEx>
          <w:tblLayout w:type="fixed"/>
          <w:tblCellMar>
            <w:top w:w="0" w:type="dxa"/>
            <w:left w:w="108" w:type="dxa"/>
            <w:bottom w:w="0" w:type="dxa"/>
            <w:right w:w="108" w:type="dxa"/>
          </w:tblCellMar>
        </w:tblPrEx>
        <w:trPr>
          <w:trHeight w:val="20" w:hRule="atLeast"/>
          <w:jc w:val="center"/>
        </w:trPr>
        <w:tc>
          <w:tcPr>
            <w:tcW w:w="9073"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企业名称：填写技术中心所在企业的名称，应与企业加盖的公章一致。</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所在地：下属企业是法人的，填写注册地；下属企业为非法人的，填写经营所在地；境内下属企业地点填写至地级市，境外下属企业所在地填写至所在国家。</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隶属关系指下属企业与技术中心所在企业之间隶属关系，应按相应的分类代码填写，具体的分类及代码是：</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分公司；</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子公司；</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控股公司。</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参股企业不得列入统计，下属企业为区级企业技术中心的不列入统计。</w:t>
            </w:r>
          </w:p>
        </w:tc>
      </w:tr>
    </w:tbl>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bookmarkStart w:id="6" w:name="_Toc466639360"/>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2</w:t>
      </w:r>
      <w:r>
        <w:rPr>
          <w:rFonts w:hint="eastAsia" w:ascii="仿宋_GB2312" w:eastAsia="仿宋_GB2312" w:cs="黑体"/>
          <w:b/>
          <w:color w:val="000000"/>
          <w:kern w:val="0"/>
          <w:sz w:val="30"/>
          <w:szCs w:val="30"/>
        </w:rPr>
        <w:t>：研究开发费用情况归集表</w:t>
      </w:r>
      <w:r>
        <w:rPr>
          <w:rFonts w:ascii="仿宋_GB2312" w:eastAsia="仿宋_GB2312" w:cs="黑体"/>
          <w:b/>
          <w:color w:val="000000"/>
          <w:kern w:val="0"/>
          <w:sz w:val="30"/>
          <w:szCs w:val="30"/>
        </w:rPr>
        <w:t>(</w:t>
      </w:r>
      <w:r>
        <w:rPr>
          <w:rFonts w:hint="eastAsia" w:ascii="仿宋_GB2312" w:eastAsia="仿宋_GB2312" w:cs="黑体"/>
          <w:b/>
          <w:color w:val="000000"/>
          <w:kern w:val="0"/>
          <w:sz w:val="30"/>
          <w:szCs w:val="30"/>
        </w:rPr>
        <w:t>单位：千元</w:t>
      </w:r>
      <w:r>
        <w:rPr>
          <w:rFonts w:ascii="仿宋_GB2312" w:eastAsia="仿宋_GB2312" w:cs="黑体"/>
          <w:b/>
          <w:color w:val="000000"/>
          <w:kern w:val="0"/>
          <w:sz w:val="30"/>
          <w:szCs w:val="30"/>
        </w:rPr>
        <w:t>)</w:t>
      </w:r>
      <w:bookmarkEnd w:id="6"/>
    </w:p>
    <w:tbl>
      <w:tblPr>
        <w:tblStyle w:val="7"/>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研发经费情况</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bCs/>
                <w:color w:val="000000"/>
                <w:kern w:val="0"/>
                <w:sz w:val="24"/>
                <w:szCs w:val="24"/>
              </w:rPr>
            </w:pPr>
            <w:r>
              <w:rPr>
                <w:rFonts w:hint="eastAsia" w:ascii="仿宋_GB2312" w:eastAsia="仿宋_GB2312"/>
                <w:b/>
                <w:bCs/>
                <w:color w:val="000000"/>
                <w:kern w:val="0"/>
                <w:sz w:val="24"/>
                <w:szCs w:val="24"/>
              </w:rPr>
              <w:t xml:space="preserve">1. </w:t>
            </w:r>
            <w:r>
              <w:rPr>
                <w:rFonts w:hint="eastAsia" w:ascii="仿宋_GB2312" w:eastAsia="仿宋_GB2312" w:cs="宋体"/>
                <w:b/>
                <w:bCs/>
                <w:color w:val="000000"/>
                <w:kern w:val="0"/>
                <w:sz w:val="24"/>
                <w:szCs w:val="24"/>
              </w:rPr>
              <w:t>企业内部的日常研发经费支出</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）人员人工费</w:t>
            </w:r>
            <w:r>
              <w:rPr>
                <w:rFonts w:hint="eastAsia" w:ascii="仿宋_GB2312" w:eastAsia="仿宋_GB2312"/>
                <w:color w:val="000000"/>
                <w:kern w:val="0"/>
                <w:sz w:val="24"/>
                <w:szCs w:val="24"/>
              </w:rPr>
              <w:t>(</w:t>
            </w:r>
            <w:r>
              <w:rPr>
                <w:rFonts w:hint="eastAsia" w:ascii="仿宋_GB2312" w:eastAsia="仿宋_GB2312" w:cs="宋体"/>
                <w:color w:val="000000"/>
                <w:kern w:val="0"/>
                <w:sz w:val="24"/>
                <w:szCs w:val="24"/>
              </w:rPr>
              <w:t>包含各种补贴</w:t>
            </w:r>
            <w:r>
              <w:rPr>
                <w:rFonts w:hint="eastAsia" w:ascii="仿宋_GB2312" w:eastAsia="仿宋_GB2312"/>
                <w:color w:val="000000"/>
                <w:kern w:val="0"/>
                <w:sz w:val="24"/>
                <w:szCs w:val="24"/>
              </w:rPr>
              <w:t xml:space="preserve">)           </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）原材料费</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）折旧费用与长期费用摊销</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）无形资产摊销</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）其他费用</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bCs/>
                <w:color w:val="000000"/>
                <w:kern w:val="0"/>
                <w:sz w:val="24"/>
                <w:szCs w:val="24"/>
              </w:rPr>
            </w:pPr>
            <w:r>
              <w:rPr>
                <w:rFonts w:hint="eastAsia" w:ascii="仿宋_GB2312" w:eastAsia="仿宋_GB2312"/>
                <w:b/>
                <w:bCs/>
                <w:color w:val="000000"/>
                <w:kern w:val="0"/>
                <w:sz w:val="24"/>
                <w:szCs w:val="24"/>
              </w:rPr>
              <w:t xml:space="preserve">2. </w:t>
            </w:r>
            <w:r>
              <w:rPr>
                <w:rFonts w:hint="eastAsia" w:ascii="仿宋_GB2312" w:eastAsia="仿宋_GB2312" w:cs="宋体"/>
                <w:b/>
                <w:bCs/>
                <w:color w:val="000000"/>
                <w:kern w:val="0"/>
                <w:sz w:val="24"/>
                <w:szCs w:val="24"/>
              </w:rPr>
              <w:t>当年形成用于研发的固定资产支出</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其中：仪器和设备</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bCs/>
                <w:color w:val="000000"/>
                <w:kern w:val="0"/>
                <w:sz w:val="24"/>
                <w:szCs w:val="24"/>
              </w:rPr>
            </w:pPr>
            <w:r>
              <w:rPr>
                <w:rFonts w:hint="eastAsia" w:ascii="仿宋_GB2312" w:eastAsia="仿宋_GB2312"/>
                <w:b/>
                <w:bCs/>
                <w:color w:val="000000"/>
                <w:kern w:val="0"/>
                <w:sz w:val="24"/>
                <w:szCs w:val="24"/>
              </w:rPr>
              <w:t xml:space="preserve">3. </w:t>
            </w:r>
            <w:r>
              <w:rPr>
                <w:rFonts w:hint="eastAsia" w:ascii="仿宋_GB2312" w:eastAsia="仿宋_GB2312" w:cs="宋体"/>
                <w:b/>
                <w:bCs/>
                <w:color w:val="000000"/>
                <w:kern w:val="0"/>
                <w:sz w:val="24"/>
                <w:szCs w:val="24"/>
              </w:rPr>
              <w:t>委托外单位开展研发的经费支出</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）对境内研究机构支出</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）对境内高等学校支出</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）对境内企业支出</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）对境外支出</w:t>
            </w:r>
          </w:p>
        </w:tc>
        <w:tc>
          <w:tcPr>
            <w:tcW w:w="1480"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880" w:type="dxa"/>
            <w:gridSpan w:val="2"/>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技术中心所在企业的分公司、子公司、控股公司合并报表，参股企业不得列入，下属企业为区级企业技术中心的不列入统计。</w:t>
            </w:r>
          </w:p>
        </w:tc>
      </w:tr>
    </w:tbl>
    <w:p>
      <w:pPr>
        <w:pageBreakBefore w:val="0"/>
        <w:kinsoku/>
        <w:wordWrap/>
        <w:overflowPunct/>
        <w:topLinePunct w:val="0"/>
        <w:autoSpaceDE/>
        <w:autoSpaceDN/>
        <w:bidi w:val="0"/>
        <w:adjustRightInd/>
        <w:snapToGrid/>
        <w:spacing w:line="240" w:lineRule="auto"/>
        <w:ind w:left="0" w:leftChars="0"/>
      </w:pPr>
    </w:p>
    <w:p>
      <w:pPr>
        <w:pageBreakBefore w:val="0"/>
        <w:kinsoku/>
        <w:wordWrap/>
        <w:overflowPunct/>
        <w:topLinePunct w:val="0"/>
        <w:autoSpaceDE/>
        <w:autoSpaceDN/>
        <w:bidi w:val="0"/>
        <w:adjustRightInd/>
        <w:snapToGrid/>
        <w:spacing w:line="240" w:lineRule="auto"/>
        <w:ind w:left="0" w:leftChars="0"/>
        <w:jc w:val="center"/>
        <w:outlineLvl w:val="3"/>
        <w:rPr>
          <w:rFonts w:hint="eastAsia" w:ascii="仿宋_GB2312" w:eastAsia="仿宋_GB2312" w:cs="黑体"/>
          <w:b/>
          <w:color w:val="000000"/>
          <w:kern w:val="0"/>
          <w:sz w:val="30"/>
          <w:szCs w:val="30"/>
        </w:rPr>
      </w:pPr>
      <w:bookmarkStart w:id="7" w:name="_Toc466639361"/>
    </w:p>
    <w:p>
      <w:pPr>
        <w:pageBreakBefore w:val="0"/>
        <w:kinsoku/>
        <w:wordWrap/>
        <w:overflowPunct/>
        <w:topLinePunct w:val="0"/>
        <w:autoSpaceDE/>
        <w:autoSpaceDN/>
        <w:bidi w:val="0"/>
        <w:adjustRightInd/>
        <w:snapToGrid/>
        <w:spacing w:line="240" w:lineRule="auto"/>
        <w:ind w:left="0" w:leftChars="0"/>
        <w:jc w:val="center"/>
        <w:outlineLvl w:val="3"/>
        <w:rPr>
          <w:rFonts w:hint="eastAsia" w:ascii="仿宋_GB2312" w:eastAsia="仿宋_GB2312" w:cs="黑体"/>
          <w:b/>
          <w:color w:val="000000"/>
          <w:kern w:val="0"/>
          <w:sz w:val="30"/>
          <w:szCs w:val="30"/>
        </w:rPr>
      </w:pPr>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3</w:t>
      </w:r>
      <w:r>
        <w:rPr>
          <w:rFonts w:hint="eastAsia" w:ascii="仿宋_GB2312" w:eastAsia="仿宋_GB2312" w:cs="黑体"/>
          <w:b/>
          <w:color w:val="000000"/>
          <w:kern w:val="0"/>
          <w:sz w:val="30"/>
          <w:szCs w:val="30"/>
        </w:rPr>
        <w:t>：技术中心高级专家和博士信息表</w:t>
      </w:r>
      <w:bookmarkEnd w:id="7"/>
    </w:p>
    <w:tbl>
      <w:tblPr>
        <w:tblStyle w:val="7"/>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134"/>
        <w:gridCol w:w="1134"/>
        <w:gridCol w:w="1134"/>
        <w:gridCol w:w="1134"/>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color w:val="000000"/>
                <w:kern w:val="0"/>
                <w:sz w:val="24"/>
                <w:szCs w:val="24"/>
              </w:rPr>
            </w:pPr>
            <w:r>
              <w:rPr>
                <w:rFonts w:hint="eastAsia" w:ascii="仿宋_GB2312" w:eastAsia="仿宋_GB2312" w:cs="宋体"/>
                <w:b/>
                <w:color w:val="000000"/>
                <w:kern w:val="0"/>
                <w:sz w:val="24"/>
                <w:szCs w:val="24"/>
              </w:rPr>
              <w:t>序号</w:t>
            </w:r>
          </w:p>
        </w:tc>
        <w:tc>
          <w:tcPr>
            <w:tcW w:w="85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color w:val="000000"/>
                <w:kern w:val="0"/>
                <w:sz w:val="24"/>
                <w:szCs w:val="24"/>
              </w:rPr>
            </w:pPr>
            <w:r>
              <w:rPr>
                <w:rFonts w:hint="eastAsia" w:ascii="仿宋_GB2312" w:eastAsia="仿宋_GB2312" w:cs="宋体"/>
                <w:b/>
                <w:color w:val="000000"/>
                <w:kern w:val="0"/>
                <w:sz w:val="24"/>
                <w:szCs w:val="24"/>
              </w:rPr>
              <w:t>姓名</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color w:val="000000"/>
                <w:spacing w:val="-20"/>
                <w:kern w:val="0"/>
                <w:sz w:val="24"/>
                <w:szCs w:val="24"/>
              </w:rPr>
            </w:pPr>
            <w:r>
              <w:rPr>
                <w:rFonts w:hint="eastAsia" w:ascii="仿宋_GB2312" w:eastAsia="仿宋_GB2312" w:cs="宋体"/>
                <w:b/>
                <w:color w:val="000000"/>
                <w:spacing w:val="-20"/>
                <w:kern w:val="0"/>
                <w:sz w:val="24"/>
                <w:szCs w:val="24"/>
              </w:rPr>
              <w:t>出生年月</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color w:val="000000"/>
                <w:spacing w:val="-20"/>
                <w:kern w:val="0"/>
                <w:sz w:val="24"/>
                <w:szCs w:val="24"/>
              </w:rPr>
            </w:pPr>
            <w:r>
              <w:rPr>
                <w:rFonts w:hint="eastAsia" w:ascii="仿宋_GB2312" w:eastAsia="仿宋_GB2312" w:cs="宋体"/>
                <w:b/>
                <w:color w:val="000000"/>
                <w:spacing w:val="-20"/>
                <w:kern w:val="0"/>
                <w:sz w:val="24"/>
                <w:szCs w:val="24"/>
              </w:rPr>
              <w:t>所在部门</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color w:val="000000"/>
                <w:spacing w:val="-20"/>
                <w:kern w:val="0"/>
                <w:sz w:val="24"/>
                <w:szCs w:val="24"/>
              </w:rPr>
            </w:pPr>
            <w:r>
              <w:rPr>
                <w:rFonts w:hint="eastAsia" w:ascii="仿宋_GB2312" w:eastAsia="仿宋_GB2312" w:cs="宋体"/>
                <w:b/>
                <w:color w:val="000000"/>
                <w:spacing w:val="-20"/>
                <w:kern w:val="0"/>
                <w:sz w:val="24"/>
                <w:szCs w:val="24"/>
              </w:rPr>
              <w:t>职称职务</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color w:val="000000"/>
                <w:spacing w:val="-20"/>
                <w:kern w:val="0"/>
                <w:sz w:val="24"/>
                <w:szCs w:val="24"/>
              </w:rPr>
            </w:pPr>
            <w:r>
              <w:rPr>
                <w:rFonts w:hint="eastAsia" w:ascii="仿宋_GB2312" w:eastAsia="仿宋_GB2312" w:cs="宋体"/>
                <w:b/>
                <w:color w:val="000000"/>
                <w:spacing w:val="-20"/>
                <w:kern w:val="0"/>
                <w:sz w:val="24"/>
                <w:szCs w:val="24"/>
              </w:rPr>
              <w:t>技术领域</w:t>
            </w:r>
          </w:p>
        </w:tc>
        <w:tc>
          <w:tcPr>
            <w:tcW w:w="850"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color w:val="000000"/>
                <w:kern w:val="0"/>
                <w:sz w:val="24"/>
                <w:szCs w:val="24"/>
              </w:rPr>
            </w:pPr>
            <w:r>
              <w:rPr>
                <w:rFonts w:hint="eastAsia" w:ascii="仿宋_GB2312" w:eastAsia="仿宋_GB2312" w:cs="宋体"/>
                <w:b/>
                <w:color w:val="000000"/>
                <w:kern w:val="0"/>
                <w:sz w:val="24"/>
                <w:szCs w:val="24"/>
              </w:rPr>
              <w:t>学历</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专家类型</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85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850"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85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850"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85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850"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85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850"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jc w:val="center"/>
        </w:trPr>
        <w:tc>
          <w:tcPr>
            <w:tcW w:w="9214" w:type="dxa"/>
            <w:gridSpan w:val="9"/>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r>
              <w:rPr>
                <w:rFonts w:hint="eastAsia" w:ascii="仿宋_GB2312" w:eastAsia="仿宋_GB2312"/>
                <w:color w:val="000000"/>
                <w:kern w:val="0"/>
                <w:sz w:val="24"/>
                <w:szCs w:val="24"/>
              </w:rPr>
              <w:br w:type="textWrapping"/>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“出生年月”为</w:t>
            </w:r>
            <w:r>
              <w:rPr>
                <w:rFonts w:hint="eastAsia" w:ascii="仿宋_GB2312" w:eastAsia="仿宋_GB2312"/>
                <w:color w:val="000000"/>
                <w:kern w:val="0"/>
                <w:sz w:val="24"/>
                <w:szCs w:val="24"/>
              </w:rPr>
              <w:t>6</w:t>
            </w:r>
            <w:r>
              <w:rPr>
                <w:rFonts w:hint="eastAsia" w:ascii="仿宋_GB2312" w:eastAsia="仿宋_GB2312" w:cs="宋体"/>
                <w:color w:val="000000"/>
                <w:kern w:val="0"/>
                <w:sz w:val="24"/>
                <w:szCs w:val="24"/>
              </w:rPr>
              <w:t>位编码，其中前</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位为年份，后</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位为月份（</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月至</w:t>
            </w:r>
            <w:r>
              <w:rPr>
                <w:rFonts w:hint="eastAsia" w:ascii="仿宋_GB2312" w:eastAsia="仿宋_GB2312"/>
                <w:color w:val="000000"/>
                <w:kern w:val="0"/>
                <w:sz w:val="24"/>
                <w:szCs w:val="24"/>
              </w:rPr>
              <w:t>9</w:t>
            </w:r>
            <w:r>
              <w:rPr>
                <w:rFonts w:hint="eastAsia" w:ascii="仿宋_GB2312" w:eastAsia="仿宋_GB2312" w:cs="宋体"/>
                <w:color w:val="000000"/>
                <w:kern w:val="0"/>
                <w:sz w:val="24"/>
                <w:szCs w:val="24"/>
              </w:rPr>
              <w:t>月必须前补</w:t>
            </w:r>
            <w:r>
              <w:rPr>
                <w:rFonts w:hint="eastAsia" w:ascii="仿宋_GB2312" w:eastAsia="仿宋_GB2312"/>
                <w:color w:val="000000"/>
                <w:kern w:val="0"/>
                <w:sz w:val="24"/>
                <w:szCs w:val="24"/>
              </w:rPr>
              <w:t>0</w:t>
            </w:r>
            <w:r>
              <w:rPr>
                <w:rFonts w:hint="eastAsia" w:ascii="仿宋_GB2312" w:eastAsia="仿宋_GB2312" w:cs="宋体"/>
                <w:color w:val="000000"/>
                <w:kern w:val="0"/>
                <w:sz w:val="24"/>
                <w:szCs w:val="24"/>
              </w:rPr>
              <w:t>）。例，出生年月为</w:t>
            </w:r>
            <w:r>
              <w:rPr>
                <w:rFonts w:hint="eastAsia" w:ascii="仿宋_GB2312" w:eastAsia="仿宋_GB2312"/>
                <w:color w:val="000000"/>
                <w:kern w:val="0"/>
                <w:sz w:val="24"/>
                <w:szCs w:val="24"/>
              </w:rPr>
              <w:t>1980</w:t>
            </w:r>
            <w:r>
              <w:rPr>
                <w:rFonts w:hint="eastAsia" w:ascii="仿宋_GB2312" w:eastAsia="仿宋_GB2312" w:cs="宋体"/>
                <w:color w:val="000000"/>
                <w:kern w:val="0"/>
                <w:sz w:val="24"/>
                <w:szCs w:val="24"/>
              </w:rPr>
              <w:t>年</w:t>
            </w:r>
            <w:r>
              <w:rPr>
                <w:rFonts w:hint="eastAsia" w:ascii="仿宋_GB2312" w:eastAsia="仿宋_GB2312"/>
                <w:color w:val="000000"/>
                <w:kern w:val="0"/>
                <w:sz w:val="24"/>
                <w:szCs w:val="24"/>
              </w:rPr>
              <w:t>9</w:t>
            </w:r>
            <w:r>
              <w:rPr>
                <w:rFonts w:hint="eastAsia" w:ascii="仿宋_GB2312" w:eastAsia="仿宋_GB2312" w:cs="宋体"/>
                <w:color w:val="000000"/>
                <w:kern w:val="0"/>
                <w:sz w:val="24"/>
                <w:szCs w:val="24"/>
              </w:rPr>
              <w:t>月，填写编码为“</w:t>
            </w:r>
            <w:r>
              <w:rPr>
                <w:rFonts w:hint="eastAsia" w:ascii="仿宋_GB2312" w:eastAsia="仿宋_GB2312"/>
                <w:color w:val="000000"/>
                <w:kern w:val="0"/>
                <w:sz w:val="24"/>
                <w:szCs w:val="24"/>
              </w:rPr>
              <w:t>198009</w:t>
            </w:r>
            <w:r>
              <w:rPr>
                <w:rFonts w:hint="eastAsia" w:ascii="仿宋_GB2312" w:eastAsia="仿宋_GB2312" w:cs="宋体"/>
                <w:color w:val="000000"/>
                <w:kern w:val="0"/>
                <w:sz w:val="24"/>
                <w:szCs w:val="24"/>
              </w:rPr>
              <w:t>”。</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“所在部门”指企业技术中心下属部门或分支机构名称。</w:t>
            </w:r>
            <w:r>
              <w:rPr>
                <w:rFonts w:hint="eastAsia" w:ascii="仿宋_GB2312" w:eastAsia="仿宋_GB2312"/>
                <w:color w:val="000000"/>
                <w:kern w:val="0"/>
                <w:sz w:val="24"/>
                <w:szCs w:val="24"/>
              </w:rPr>
              <w:br w:type="textWrapping"/>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“专家类型”应按相应的分类代码填写，具体的分类及代码是：</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国家有突出贡献的专家或国家专项津贴获得者；</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省部有突出贡献的专家或省部专项津贴获得者；</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高级职称专家；</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高级技师；</w:t>
            </w: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博士；</w:t>
            </w:r>
            <w:r>
              <w:rPr>
                <w:rFonts w:hint="eastAsia" w:ascii="仿宋_GB2312" w:eastAsia="仿宋_GB2312"/>
                <w:color w:val="000000"/>
                <w:kern w:val="0"/>
                <w:sz w:val="24"/>
                <w:szCs w:val="24"/>
              </w:rPr>
              <w:t>6.</w:t>
            </w:r>
            <w:r>
              <w:rPr>
                <w:rFonts w:hint="eastAsia" w:ascii="仿宋_GB2312" w:eastAsia="仿宋_GB2312" w:cs="宋体"/>
                <w:color w:val="000000"/>
                <w:kern w:val="0"/>
                <w:sz w:val="24"/>
                <w:szCs w:val="24"/>
              </w:rPr>
              <w:t>其他类型专家（需具体说明）。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联系电话应为专家本人常用电话，以便于评价组与专家联系核实。</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专家提供证书或政府批准的公告等证明材料复印件。</w:t>
            </w:r>
          </w:p>
        </w:tc>
      </w:tr>
    </w:tbl>
    <w:p>
      <w:pPr>
        <w:pageBreakBefore w:val="0"/>
        <w:kinsoku/>
        <w:wordWrap/>
        <w:overflowPunct/>
        <w:topLinePunct w:val="0"/>
        <w:autoSpaceDE/>
        <w:autoSpaceDN/>
        <w:bidi w:val="0"/>
        <w:adjustRightInd/>
        <w:snapToGrid/>
        <w:spacing w:line="240" w:lineRule="auto"/>
        <w:ind w:left="0" w:leftChars="0"/>
        <w:jc w:val="center"/>
        <w:outlineLvl w:val="3"/>
        <w:rPr>
          <w:rFonts w:eastAsia="黑体" w:cs="黑体"/>
          <w:color w:val="000000"/>
          <w:kern w:val="0"/>
          <w:sz w:val="22"/>
          <w:szCs w:val="22"/>
        </w:rPr>
      </w:pPr>
      <w:bookmarkStart w:id="8" w:name="_Toc466639362"/>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4</w:t>
      </w:r>
      <w:r>
        <w:rPr>
          <w:rFonts w:hint="eastAsia" w:ascii="仿宋_GB2312" w:eastAsia="仿宋_GB2312" w:cs="黑体"/>
          <w:b/>
          <w:color w:val="000000"/>
          <w:kern w:val="0"/>
          <w:sz w:val="30"/>
          <w:szCs w:val="30"/>
        </w:rPr>
        <w:t>：技术中心外部专家信息表</w:t>
      </w:r>
      <w:bookmarkEnd w:id="8"/>
    </w:p>
    <w:tbl>
      <w:tblPr>
        <w:tblStyle w:val="7"/>
        <w:tblW w:w="9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51"/>
        <w:gridCol w:w="1134"/>
        <w:gridCol w:w="1134"/>
        <w:gridCol w:w="1134"/>
        <w:gridCol w:w="1134"/>
        <w:gridCol w:w="709"/>
        <w:gridCol w:w="132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sz w:val="24"/>
                <w:szCs w:val="24"/>
              </w:rPr>
            </w:pPr>
            <w:r>
              <w:rPr>
                <w:rFonts w:hint="eastAsia" w:ascii="仿宋_GB2312" w:eastAsia="仿宋_GB2312" w:cs="宋体"/>
                <w:b/>
                <w:sz w:val="24"/>
                <w:szCs w:val="24"/>
              </w:rPr>
              <w:t>序号</w:t>
            </w:r>
          </w:p>
        </w:tc>
        <w:tc>
          <w:tcPr>
            <w:tcW w:w="75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sz w:val="24"/>
                <w:szCs w:val="24"/>
              </w:rPr>
            </w:pPr>
            <w:r>
              <w:rPr>
                <w:rFonts w:hint="eastAsia" w:ascii="仿宋_GB2312" w:eastAsia="仿宋_GB2312" w:cs="宋体"/>
                <w:b/>
                <w:sz w:val="24"/>
                <w:szCs w:val="24"/>
              </w:rPr>
              <w:t>姓名</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出生年月</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工作单位</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职称职务</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技术领域</w:t>
            </w:r>
          </w:p>
        </w:tc>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sz w:val="24"/>
                <w:szCs w:val="24"/>
              </w:rPr>
            </w:pPr>
            <w:r>
              <w:rPr>
                <w:rFonts w:hint="eastAsia" w:ascii="仿宋_GB2312" w:eastAsia="仿宋_GB2312" w:cs="宋体"/>
                <w:b/>
                <w:sz w:val="24"/>
                <w:szCs w:val="24"/>
              </w:rPr>
              <w:t>学历</w:t>
            </w:r>
          </w:p>
        </w:tc>
        <w:tc>
          <w:tcPr>
            <w:tcW w:w="1325"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工作时间</w:t>
            </w:r>
          </w:p>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（人月）</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sz w:val="24"/>
                <w:szCs w:val="24"/>
              </w:rPr>
              <w:t>1</w:t>
            </w:r>
          </w:p>
        </w:tc>
        <w:tc>
          <w:tcPr>
            <w:tcW w:w="75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32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sz w:val="24"/>
                <w:szCs w:val="24"/>
              </w:rPr>
              <w:t>2</w:t>
            </w:r>
          </w:p>
        </w:tc>
        <w:tc>
          <w:tcPr>
            <w:tcW w:w="75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32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sz w:val="24"/>
                <w:szCs w:val="24"/>
              </w:rPr>
              <w:t>…</w:t>
            </w:r>
          </w:p>
        </w:tc>
        <w:tc>
          <w:tcPr>
            <w:tcW w:w="75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32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sz w:val="24"/>
                <w:szCs w:val="24"/>
              </w:rPr>
              <w:t>n</w:t>
            </w:r>
          </w:p>
        </w:tc>
        <w:tc>
          <w:tcPr>
            <w:tcW w:w="75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70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32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05" w:type="dxa"/>
            <w:gridSpan w:val="7"/>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仿宋_GB2312"/>
                <w:color w:val="000000"/>
                <w:kern w:val="0"/>
                <w:sz w:val="24"/>
                <w:szCs w:val="24"/>
              </w:rPr>
              <w:t>外部专家来企业工作时间合计（人月）</w:t>
            </w:r>
          </w:p>
        </w:tc>
        <w:tc>
          <w:tcPr>
            <w:tcW w:w="2459" w:type="dxa"/>
            <w:gridSpan w:val="2"/>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64" w:type="dxa"/>
            <w:gridSpan w:val="9"/>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cs="宋体"/>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1.</w:t>
            </w:r>
            <w:r>
              <w:rPr>
                <w:rFonts w:hint="eastAsia" w:ascii="仿宋_GB2312" w:eastAsia="仿宋_GB2312" w:cs="宋体"/>
                <w:kern w:val="0"/>
                <w:sz w:val="24"/>
                <w:szCs w:val="24"/>
              </w:rPr>
              <w:t>“出生年月”为</w:t>
            </w:r>
            <w:r>
              <w:rPr>
                <w:rFonts w:hint="eastAsia" w:ascii="仿宋_GB2312" w:eastAsia="仿宋_GB2312"/>
                <w:kern w:val="0"/>
                <w:sz w:val="24"/>
                <w:szCs w:val="24"/>
              </w:rPr>
              <w:t>6</w:t>
            </w:r>
            <w:r>
              <w:rPr>
                <w:rFonts w:hint="eastAsia" w:ascii="仿宋_GB2312" w:eastAsia="仿宋_GB2312" w:cs="宋体"/>
                <w:kern w:val="0"/>
                <w:sz w:val="24"/>
                <w:szCs w:val="24"/>
              </w:rPr>
              <w:t>位编码，其中前</w:t>
            </w:r>
            <w:r>
              <w:rPr>
                <w:rFonts w:hint="eastAsia" w:ascii="仿宋_GB2312" w:eastAsia="仿宋_GB2312"/>
                <w:kern w:val="0"/>
                <w:sz w:val="24"/>
                <w:szCs w:val="24"/>
              </w:rPr>
              <w:t>4</w:t>
            </w:r>
            <w:r>
              <w:rPr>
                <w:rFonts w:hint="eastAsia" w:ascii="仿宋_GB2312" w:eastAsia="仿宋_GB2312" w:cs="宋体"/>
                <w:kern w:val="0"/>
                <w:sz w:val="24"/>
                <w:szCs w:val="24"/>
              </w:rPr>
              <w:t>位为年份，后</w:t>
            </w:r>
            <w:r>
              <w:rPr>
                <w:rFonts w:hint="eastAsia" w:ascii="仿宋_GB2312" w:eastAsia="仿宋_GB2312"/>
                <w:kern w:val="0"/>
                <w:sz w:val="24"/>
                <w:szCs w:val="24"/>
              </w:rPr>
              <w:t>2</w:t>
            </w:r>
            <w:r>
              <w:rPr>
                <w:rFonts w:hint="eastAsia" w:ascii="仿宋_GB2312" w:eastAsia="仿宋_GB2312" w:cs="宋体"/>
                <w:kern w:val="0"/>
                <w:sz w:val="24"/>
                <w:szCs w:val="24"/>
              </w:rPr>
              <w:t>位为月份（</w:t>
            </w:r>
            <w:r>
              <w:rPr>
                <w:rFonts w:hint="eastAsia" w:ascii="仿宋_GB2312" w:eastAsia="仿宋_GB2312"/>
                <w:kern w:val="0"/>
                <w:sz w:val="24"/>
                <w:szCs w:val="24"/>
              </w:rPr>
              <w:t>1</w:t>
            </w:r>
            <w:r>
              <w:rPr>
                <w:rFonts w:hint="eastAsia" w:ascii="仿宋_GB2312" w:eastAsia="仿宋_GB2312" w:cs="宋体"/>
                <w:kern w:val="0"/>
                <w:sz w:val="24"/>
                <w:szCs w:val="24"/>
              </w:rPr>
              <w:t>月至</w:t>
            </w:r>
            <w:r>
              <w:rPr>
                <w:rFonts w:hint="eastAsia" w:ascii="仿宋_GB2312" w:eastAsia="仿宋_GB2312"/>
                <w:kern w:val="0"/>
                <w:sz w:val="24"/>
                <w:szCs w:val="24"/>
              </w:rPr>
              <w:t>9</w:t>
            </w:r>
            <w:r>
              <w:rPr>
                <w:rFonts w:hint="eastAsia" w:ascii="仿宋_GB2312" w:eastAsia="仿宋_GB2312" w:cs="宋体"/>
                <w:kern w:val="0"/>
                <w:sz w:val="24"/>
                <w:szCs w:val="24"/>
              </w:rPr>
              <w:t>月必须前补</w:t>
            </w:r>
            <w:r>
              <w:rPr>
                <w:rFonts w:hint="eastAsia" w:ascii="仿宋_GB2312" w:eastAsia="仿宋_GB2312"/>
                <w:kern w:val="0"/>
                <w:sz w:val="24"/>
                <w:szCs w:val="24"/>
              </w:rPr>
              <w:t>0</w:t>
            </w:r>
            <w:r>
              <w:rPr>
                <w:rFonts w:hint="eastAsia" w:ascii="仿宋_GB2312" w:eastAsia="仿宋_GB2312" w:cs="宋体"/>
                <w:kern w:val="0"/>
                <w:sz w:val="24"/>
                <w:szCs w:val="24"/>
              </w:rPr>
              <w:t>）。</w:t>
            </w:r>
            <w:r>
              <w:rPr>
                <w:rFonts w:hint="eastAsia" w:ascii="仿宋_GB2312" w:eastAsia="仿宋_GB2312" w:cs="宋体"/>
                <w:color w:val="000000"/>
                <w:kern w:val="0"/>
                <w:sz w:val="24"/>
                <w:szCs w:val="24"/>
              </w:rPr>
              <w:t>例，出生年月为</w:t>
            </w:r>
            <w:r>
              <w:rPr>
                <w:rFonts w:hint="eastAsia" w:ascii="仿宋_GB2312" w:eastAsia="仿宋_GB2312"/>
                <w:color w:val="000000"/>
                <w:kern w:val="0"/>
                <w:sz w:val="24"/>
                <w:szCs w:val="24"/>
              </w:rPr>
              <w:t>1980</w:t>
            </w:r>
            <w:r>
              <w:rPr>
                <w:rFonts w:hint="eastAsia" w:ascii="仿宋_GB2312" w:eastAsia="仿宋_GB2312" w:cs="宋体"/>
                <w:color w:val="000000"/>
                <w:kern w:val="0"/>
                <w:sz w:val="24"/>
                <w:szCs w:val="24"/>
              </w:rPr>
              <w:t>年</w:t>
            </w:r>
            <w:r>
              <w:rPr>
                <w:rFonts w:hint="eastAsia" w:ascii="仿宋_GB2312" w:eastAsia="仿宋_GB2312"/>
                <w:color w:val="000000"/>
                <w:kern w:val="0"/>
                <w:sz w:val="24"/>
                <w:szCs w:val="24"/>
              </w:rPr>
              <w:t>9</w:t>
            </w:r>
            <w:r>
              <w:rPr>
                <w:rFonts w:hint="eastAsia" w:ascii="仿宋_GB2312" w:eastAsia="仿宋_GB2312" w:cs="宋体"/>
                <w:color w:val="000000"/>
                <w:kern w:val="0"/>
                <w:sz w:val="24"/>
                <w:szCs w:val="24"/>
              </w:rPr>
              <w:t>月，填写编码为“</w:t>
            </w:r>
            <w:r>
              <w:rPr>
                <w:rFonts w:hint="eastAsia" w:ascii="仿宋_GB2312" w:eastAsia="仿宋_GB2312"/>
                <w:color w:val="000000"/>
                <w:kern w:val="0"/>
                <w:sz w:val="24"/>
                <w:szCs w:val="24"/>
              </w:rPr>
              <w:t>198009</w:t>
            </w:r>
            <w:r>
              <w:rPr>
                <w:rFonts w:hint="eastAsia" w:ascii="仿宋_GB2312" w:eastAsia="仿宋_GB2312" w:cs="宋体"/>
                <w:color w:val="000000"/>
                <w:kern w:val="0"/>
                <w:sz w:val="24"/>
                <w:szCs w:val="24"/>
              </w:rPr>
              <w:t>”。</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2.</w:t>
            </w:r>
            <w:r>
              <w:rPr>
                <w:rFonts w:hint="eastAsia" w:ascii="仿宋_GB2312" w:eastAsia="仿宋_GB2312" w:cs="宋体"/>
                <w:kern w:val="0"/>
                <w:sz w:val="24"/>
                <w:szCs w:val="24"/>
              </w:rPr>
              <w:t>“工作单位”指外部专家所属原工作单位名称。</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3.</w:t>
            </w:r>
            <w:r>
              <w:rPr>
                <w:rFonts w:hint="eastAsia" w:ascii="仿宋_GB2312" w:eastAsia="仿宋_GB2312" w:cs="宋体"/>
                <w:kern w:val="0"/>
                <w:sz w:val="24"/>
                <w:szCs w:val="24"/>
              </w:rPr>
              <w:t>“工作时间”指外部专家在技术中心开展技术创新相关研究咨询工作的时间合计，最小统计单位为“</w:t>
            </w:r>
            <w:r>
              <w:rPr>
                <w:rFonts w:hint="eastAsia" w:ascii="仿宋_GB2312" w:eastAsia="仿宋_GB2312"/>
                <w:kern w:val="0"/>
                <w:sz w:val="24"/>
                <w:szCs w:val="24"/>
              </w:rPr>
              <w:t>0.5</w:t>
            </w:r>
            <w:r>
              <w:rPr>
                <w:rFonts w:hint="eastAsia" w:ascii="仿宋_GB2312" w:eastAsia="仿宋_GB2312" w:cs="宋体"/>
                <w:kern w:val="0"/>
                <w:sz w:val="24"/>
                <w:szCs w:val="24"/>
              </w:rPr>
              <w:t>人月”，</w:t>
            </w:r>
            <w:r>
              <w:rPr>
                <w:rFonts w:hint="eastAsia" w:ascii="仿宋_GB2312" w:eastAsia="仿宋_GB2312"/>
                <w:kern w:val="0"/>
                <w:sz w:val="24"/>
                <w:szCs w:val="24"/>
              </w:rPr>
              <w:t>1</w:t>
            </w:r>
            <w:r>
              <w:rPr>
                <w:rFonts w:hint="eastAsia" w:ascii="仿宋_GB2312" w:eastAsia="仿宋_GB2312" w:cs="宋体"/>
                <w:kern w:val="0"/>
                <w:sz w:val="24"/>
                <w:szCs w:val="24"/>
              </w:rPr>
              <w:t>人月为</w:t>
            </w:r>
            <w:r>
              <w:rPr>
                <w:rFonts w:hint="eastAsia" w:ascii="仿宋_GB2312" w:eastAsia="仿宋_GB2312"/>
                <w:kern w:val="0"/>
                <w:sz w:val="24"/>
                <w:szCs w:val="24"/>
              </w:rPr>
              <w:t>1</w:t>
            </w:r>
            <w:r>
              <w:rPr>
                <w:rFonts w:hint="eastAsia" w:ascii="仿宋_GB2312" w:eastAsia="仿宋_GB2312" w:cs="宋体"/>
                <w:kern w:val="0"/>
                <w:sz w:val="24"/>
                <w:szCs w:val="24"/>
              </w:rPr>
              <w:t>人工作</w:t>
            </w:r>
            <w:r>
              <w:rPr>
                <w:rFonts w:hint="eastAsia" w:ascii="仿宋_GB2312" w:eastAsia="仿宋_GB2312"/>
                <w:kern w:val="0"/>
                <w:sz w:val="24"/>
                <w:szCs w:val="24"/>
              </w:rPr>
              <w:t>22</w:t>
            </w:r>
            <w:r>
              <w:rPr>
                <w:rFonts w:hint="eastAsia" w:ascii="仿宋_GB2312" w:eastAsia="仿宋_GB2312" w:cs="宋体"/>
                <w:kern w:val="0"/>
                <w:sz w:val="24"/>
                <w:szCs w:val="24"/>
              </w:rPr>
              <w:t>个工作日。</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4.</w:t>
            </w:r>
            <w:r>
              <w:rPr>
                <w:rFonts w:hint="eastAsia" w:ascii="仿宋_GB2312" w:eastAsia="仿宋_GB2312" w:cs="宋体"/>
                <w:kern w:val="0"/>
                <w:sz w:val="24"/>
                <w:szCs w:val="24"/>
              </w:rPr>
              <w:t>联系电话应为专家本人常用电话，以便于评价组与专家联系核实。</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5</w:t>
            </w:r>
            <w:r>
              <w:rPr>
                <w:rFonts w:hint="eastAsia" w:ascii="仿宋_GB2312" w:eastAsia="仿宋_GB2312" w:cs="宋体"/>
                <w:kern w:val="0"/>
                <w:sz w:val="24"/>
                <w:szCs w:val="24"/>
              </w:rPr>
              <w:t>．外部专家提供聘书或合同复印件。</w:t>
            </w:r>
          </w:p>
        </w:tc>
      </w:tr>
    </w:tbl>
    <w:p>
      <w:pPr>
        <w:pageBreakBefore w:val="0"/>
        <w:kinsoku/>
        <w:wordWrap/>
        <w:overflowPunct/>
        <w:topLinePunct w:val="0"/>
        <w:autoSpaceDE/>
        <w:autoSpaceDN/>
        <w:bidi w:val="0"/>
        <w:adjustRightInd/>
        <w:snapToGrid/>
        <w:spacing w:line="240" w:lineRule="auto"/>
        <w:ind w:left="0" w:leftChars="0"/>
        <w:jc w:val="center"/>
        <w:rPr>
          <w:rFonts w:eastAsia="黑体"/>
          <w:color w:val="000000"/>
          <w:kern w:val="0"/>
          <w:sz w:val="22"/>
          <w:szCs w:val="22"/>
        </w:rPr>
      </w:pPr>
    </w:p>
    <w:p>
      <w:pPr>
        <w:pageBreakBefore w:val="0"/>
        <w:kinsoku/>
        <w:wordWrap/>
        <w:overflowPunct/>
        <w:topLinePunct w:val="0"/>
        <w:autoSpaceDE/>
        <w:autoSpaceDN/>
        <w:bidi w:val="0"/>
        <w:adjustRightInd/>
        <w:snapToGrid/>
        <w:spacing w:line="240" w:lineRule="auto"/>
        <w:ind w:left="0" w:leftChars="0"/>
        <w:jc w:val="center"/>
        <w:outlineLvl w:val="3"/>
        <w:rPr>
          <w:rFonts w:hint="eastAsia" w:ascii="仿宋_GB2312" w:eastAsia="仿宋_GB2312" w:cs="黑体"/>
          <w:b/>
          <w:color w:val="000000"/>
          <w:kern w:val="0"/>
          <w:sz w:val="30"/>
          <w:szCs w:val="30"/>
        </w:rPr>
      </w:pPr>
      <w:bookmarkStart w:id="9" w:name="_Toc466639363"/>
    </w:p>
    <w:p>
      <w:pPr>
        <w:pageBreakBefore w:val="0"/>
        <w:kinsoku/>
        <w:wordWrap/>
        <w:overflowPunct/>
        <w:topLinePunct w:val="0"/>
        <w:autoSpaceDE/>
        <w:autoSpaceDN/>
        <w:bidi w:val="0"/>
        <w:adjustRightInd/>
        <w:snapToGrid/>
        <w:spacing w:line="240" w:lineRule="auto"/>
        <w:ind w:left="0" w:leftChars="0"/>
        <w:jc w:val="center"/>
        <w:outlineLvl w:val="3"/>
        <w:rPr>
          <w:rFonts w:hint="eastAsia" w:ascii="仿宋_GB2312" w:eastAsia="仿宋_GB2312" w:cs="黑体"/>
          <w:b/>
          <w:color w:val="000000"/>
          <w:kern w:val="0"/>
          <w:sz w:val="30"/>
          <w:szCs w:val="30"/>
        </w:rPr>
      </w:pPr>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5</w:t>
      </w:r>
      <w:r>
        <w:rPr>
          <w:rFonts w:hint="eastAsia" w:ascii="仿宋_GB2312" w:eastAsia="仿宋_GB2312" w:cs="黑体"/>
          <w:b/>
          <w:color w:val="000000"/>
          <w:kern w:val="0"/>
          <w:sz w:val="30"/>
          <w:szCs w:val="30"/>
        </w:rPr>
        <w:t>：企业全部研发项目信息表</w:t>
      </w:r>
      <w:bookmarkEnd w:id="9"/>
    </w:p>
    <w:tbl>
      <w:tblPr>
        <w:tblStyle w:val="7"/>
        <w:tblW w:w="96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5"/>
        <w:gridCol w:w="1134"/>
        <w:gridCol w:w="1559"/>
        <w:gridCol w:w="1276"/>
        <w:gridCol w:w="1134"/>
        <w:gridCol w:w="1134"/>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1"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序号</w:t>
            </w:r>
          </w:p>
        </w:tc>
        <w:tc>
          <w:tcPr>
            <w:tcW w:w="1135"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项目名称</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项目来源</w:t>
            </w:r>
          </w:p>
        </w:tc>
        <w:tc>
          <w:tcPr>
            <w:tcW w:w="1559"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项目合作形式</w:t>
            </w:r>
          </w:p>
        </w:tc>
        <w:tc>
          <w:tcPr>
            <w:tcW w:w="127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项目技术</w:t>
            </w:r>
          </w:p>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经济目标</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起始时间</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完成时间</w:t>
            </w:r>
          </w:p>
        </w:tc>
        <w:tc>
          <w:tcPr>
            <w:tcW w:w="1625"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项目经费内部</w:t>
            </w:r>
          </w:p>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支出（千元）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sz w:val="24"/>
                <w:szCs w:val="24"/>
              </w:rPr>
              <w:t>1</w:t>
            </w:r>
          </w:p>
        </w:tc>
        <w:tc>
          <w:tcPr>
            <w:tcW w:w="113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55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62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sz w:val="24"/>
                <w:szCs w:val="24"/>
              </w:rPr>
              <w:t>2</w:t>
            </w:r>
          </w:p>
        </w:tc>
        <w:tc>
          <w:tcPr>
            <w:tcW w:w="113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55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62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sz w:val="24"/>
                <w:szCs w:val="24"/>
              </w:rPr>
              <w:t>…</w:t>
            </w:r>
          </w:p>
        </w:tc>
        <w:tc>
          <w:tcPr>
            <w:tcW w:w="113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55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62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sz w:val="24"/>
                <w:szCs w:val="24"/>
              </w:rPr>
              <w:t>n</w:t>
            </w:r>
          </w:p>
        </w:tc>
        <w:tc>
          <w:tcPr>
            <w:tcW w:w="113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559"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c>
          <w:tcPr>
            <w:tcW w:w="1625"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68" w:type="dxa"/>
            <w:gridSpan w:val="8"/>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cs="宋体"/>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1.</w:t>
            </w:r>
            <w:r>
              <w:rPr>
                <w:rFonts w:hint="eastAsia" w:ascii="仿宋_GB2312" w:eastAsia="仿宋_GB2312" w:cs="宋体"/>
                <w:kern w:val="0"/>
                <w:sz w:val="24"/>
                <w:szCs w:val="24"/>
              </w:rPr>
              <w:t>“项目来源”按相应的分类填写代码，具体的分类及代码是：</w:t>
            </w:r>
            <w:r>
              <w:rPr>
                <w:rFonts w:hint="eastAsia" w:ascii="仿宋_GB2312" w:eastAsia="仿宋_GB2312"/>
                <w:kern w:val="0"/>
                <w:sz w:val="24"/>
                <w:szCs w:val="24"/>
              </w:rPr>
              <w:t>1.</w:t>
            </w:r>
            <w:r>
              <w:rPr>
                <w:rFonts w:hint="eastAsia" w:ascii="仿宋_GB2312" w:eastAsia="仿宋_GB2312" w:cs="宋体"/>
                <w:kern w:val="0"/>
                <w:sz w:val="24"/>
                <w:szCs w:val="24"/>
              </w:rPr>
              <w:t>国家科技项目；</w:t>
            </w:r>
            <w:r>
              <w:rPr>
                <w:rFonts w:hint="eastAsia" w:ascii="仿宋_GB2312" w:eastAsia="仿宋_GB2312"/>
                <w:kern w:val="0"/>
                <w:sz w:val="24"/>
                <w:szCs w:val="24"/>
              </w:rPr>
              <w:t>2.</w:t>
            </w:r>
            <w:r>
              <w:rPr>
                <w:rFonts w:hint="eastAsia" w:ascii="仿宋_GB2312" w:eastAsia="仿宋_GB2312" w:cs="宋体"/>
                <w:kern w:val="0"/>
                <w:sz w:val="24"/>
                <w:szCs w:val="24"/>
              </w:rPr>
              <w:t>地方科技项目；</w:t>
            </w:r>
            <w:r>
              <w:rPr>
                <w:rFonts w:hint="eastAsia" w:ascii="仿宋_GB2312" w:eastAsia="仿宋_GB2312"/>
                <w:kern w:val="0"/>
                <w:sz w:val="24"/>
                <w:szCs w:val="24"/>
              </w:rPr>
              <w:t>3.</w:t>
            </w:r>
            <w:r>
              <w:rPr>
                <w:rFonts w:hint="eastAsia" w:ascii="仿宋_GB2312" w:eastAsia="仿宋_GB2312" w:cs="宋体"/>
                <w:kern w:val="0"/>
                <w:sz w:val="24"/>
                <w:szCs w:val="24"/>
              </w:rPr>
              <w:t>其他企业委托研发项目；</w:t>
            </w:r>
            <w:r>
              <w:rPr>
                <w:rFonts w:hint="eastAsia" w:ascii="仿宋_GB2312" w:eastAsia="仿宋_GB2312"/>
                <w:kern w:val="0"/>
                <w:sz w:val="24"/>
                <w:szCs w:val="24"/>
              </w:rPr>
              <w:t>4.</w:t>
            </w:r>
            <w:r>
              <w:rPr>
                <w:rFonts w:hint="eastAsia" w:ascii="仿宋_GB2312" w:eastAsia="仿宋_GB2312" w:cs="宋体"/>
                <w:kern w:val="0"/>
                <w:sz w:val="24"/>
                <w:szCs w:val="24"/>
              </w:rPr>
              <w:t>本企业自选研发项目；</w:t>
            </w:r>
            <w:r>
              <w:rPr>
                <w:rFonts w:hint="eastAsia" w:ascii="仿宋_GB2312" w:eastAsia="仿宋_GB2312"/>
                <w:kern w:val="0"/>
                <w:sz w:val="24"/>
                <w:szCs w:val="24"/>
              </w:rPr>
              <w:t>5.</w:t>
            </w:r>
            <w:r>
              <w:rPr>
                <w:rFonts w:hint="eastAsia" w:ascii="仿宋_GB2312" w:eastAsia="仿宋_GB2312" w:cs="宋体"/>
                <w:kern w:val="0"/>
                <w:sz w:val="24"/>
                <w:szCs w:val="24"/>
              </w:rPr>
              <w:t>来自境外的研发项目；</w:t>
            </w:r>
            <w:r>
              <w:rPr>
                <w:rFonts w:hint="eastAsia" w:ascii="仿宋_GB2312" w:eastAsia="仿宋_GB2312"/>
                <w:kern w:val="0"/>
                <w:sz w:val="24"/>
                <w:szCs w:val="24"/>
              </w:rPr>
              <w:t>6.</w:t>
            </w:r>
            <w:r>
              <w:rPr>
                <w:rFonts w:hint="eastAsia" w:ascii="仿宋_GB2312" w:eastAsia="仿宋_GB2312" w:cs="宋体"/>
                <w:kern w:val="0"/>
                <w:sz w:val="24"/>
                <w:szCs w:val="24"/>
              </w:rPr>
              <w:t>其他研发项目。</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2.</w:t>
            </w:r>
            <w:r>
              <w:rPr>
                <w:rFonts w:hint="eastAsia" w:ascii="仿宋_GB2312" w:eastAsia="仿宋_GB2312" w:cs="宋体"/>
                <w:kern w:val="0"/>
                <w:sz w:val="24"/>
                <w:szCs w:val="24"/>
              </w:rPr>
              <w:t>“项目合作形式”按重要程度选择最主要的项目合作形式并按相应的代码填写，具体的分类与代码是：</w:t>
            </w:r>
            <w:r>
              <w:rPr>
                <w:rFonts w:hint="eastAsia" w:ascii="仿宋_GB2312" w:eastAsia="仿宋_GB2312"/>
                <w:kern w:val="0"/>
                <w:sz w:val="24"/>
                <w:szCs w:val="24"/>
              </w:rPr>
              <w:t>1.</w:t>
            </w:r>
            <w:r>
              <w:rPr>
                <w:rFonts w:hint="eastAsia" w:ascii="仿宋_GB2312" w:eastAsia="仿宋_GB2312" w:cs="宋体"/>
                <w:kern w:val="0"/>
                <w:sz w:val="24"/>
                <w:szCs w:val="24"/>
              </w:rPr>
              <w:t>与境外机构合作；</w:t>
            </w:r>
            <w:r>
              <w:rPr>
                <w:rFonts w:hint="eastAsia" w:ascii="仿宋_GB2312" w:eastAsia="仿宋_GB2312"/>
                <w:kern w:val="0"/>
                <w:sz w:val="24"/>
                <w:szCs w:val="24"/>
              </w:rPr>
              <w:t>2.</w:t>
            </w:r>
            <w:r>
              <w:rPr>
                <w:rFonts w:hint="eastAsia" w:ascii="仿宋_GB2312" w:eastAsia="仿宋_GB2312" w:cs="宋体"/>
                <w:kern w:val="0"/>
                <w:sz w:val="24"/>
                <w:szCs w:val="24"/>
              </w:rPr>
              <w:t>与境内高校合作；</w:t>
            </w:r>
            <w:r>
              <w:rPr>
                <w:rFonts w:hint="eastAsia" w:ascii="仿宋_GB2312" w:eastAsia="仿宋_GB2312"/>
                <w:kern w:val="0"/>
                <w:sz w:val="24"/>
                <w:szCs w:val="24"/>
              </w:rPr>
              <w:t>3.</w:t>
            </w:r>
            <w:r>
              <w:rPr>
                <w:rFonts w:hint="eastAsia" w:ascii="仿宋_GB2312" w:eastAsia="仿宋_GB2312" w:cs="宋体"/>
                <w:kern w:val="0"/>
                <w:sz w:val="24"/>
                <w:szCs w:val="24"/>
              </w:rPr>
              <w:t>与境内独立研究机构合作；</w:t>
            </w:r>
            <w:r>
              <w:rPr>
                <w:rFonts w:hint="eastAsia" w:ascii="仿宋_GB2312" w:eastAsia="仿宋_GB2312"/>
                <w:kern w:val="0"/>
                <w:sz w:val="24"/>
                <w:szCs w:val="24"/>
              </w:rPr>
              <w:t>4.</w:t>
            </w:r>
            <w:r>
              <w:rPr>
                <w:rFonts w:hint="eastAsia" w:ascii="仿宋_GB2312" w:eastAsia="仿宋_GB2312" w:cs="宋体"/>
                <w:kern w:val="0"/>
                <w:sz w:val="24"/>
                <w:szCs w:val="24"/>
              </w:rPr>
              <w:t>与境内注册的外商独资企业合作；</w:t>
            </w:r>
            <w:r>
              <w:rPr>
                <w:rFonts w:hint="eastAsia" w:ascii="仿宋_GB2312" w:eastAsia="仿宋_GB2312"/>
                <w:kern w:val="0"/>
                <w:sz w:val="24"/>
                <w:szCs w:val="24"/>
              </w:rPr>
              <w:t>5.</w:t>
            </w:r>
            <w:r>
              <w:rPr>
                <w:rFonts w:hint="eastAsia" w:ascii="仿宋_GB2312" w:eastAsia="仿宋_GB2312" w:cs="宋体"/>
                <w:kern w:val="0"/>
                <w:sz w:val="24"/>
                <w:szCs w:val="24"/>
              </w:rPr>
              <w:t>与境内注册的其他企业合作；</w:t>
            </w:r>
            <w:r>
              <w:rPr>
                <w:rFonts w:hint="eastAsia" w:ascii="仿宋_GB2312" w:eastAsia="仿宋_GB2312"/>
                <w:kern w:val="0"/>
                <w:sz w:val="24"/>
                <w:szCs w:val="24"/>
              </w:rPr>
              <w:t>6.</w:t>
            </w:r>
            <w:r>
              <w:rPr>
                <w:rFonts w:hint="eastAsia" w:ascii="仿宋_GB2312" w:eastAsia="仿宋_GB2312" w:cs="宋体"/>
                <w:kern w:val="0"/>
                <w:sz w:val="24"/>
                <w:szCs w:val="24"/>
              </w:rPr>
              <w:t>独立研究；</w:t>
            </w:r>
            <w:r>
              <w:rPr>
                <w:rFonts w:hint="eastAsia" w:ascii="仿宋_GB2312" w:eastAsia="仿宋_GB2312"/>
                <w:kern w:val="0"/>
                <w:sz w:val="24"/>
                <w:szCs w:val="24"/>
              </w:rPr>
              <w:t>7.</w:t>
            </w:r>
            <w:r>
              <w:rPr>
                <w:rFonts w:hint="eastAsia" w:ascii="仿宋_GB2312" w:eastAsia="仿宋_GB2312" w:cs="宋体"/>
                <w:kern w:val="0"/>
                <w:sz w:val="24"/>
                <w:szCs w:val="24"/>
              </w:rPr>
              <w:t>其他。</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3.</w:t>
            </w:r>
            <w:r>
              <w:rPr>
                <w:rFonts w:hint="eastAsia" w:ascii="仿宋_GB2312" w:eastAsia="仿宋_GB2312" w:cs="宋体"/>
                <w:kern w:val="0"/>
                <w:sz w:val="24"/>
                <w:szCs w:val="24"/>
              </w:rPr>
              <w:t>“项目技术经济目标”指项目立项时确定的技术经济目标。若一个项目有两个及以上的技术经济目标，应按重要程度选择最主要的技术经济目标填写。具体的分类与代码是：</w:t>
            </w:r>
            <w:r>
              <w:rPr>
                <w:rFonts w:hint="eastAsia" w:ascii="仿宋_GB2312" w:eastAsia="仿宋_GB2312"/>
                <w:kern w:val="0"/>
                <w:sz w:val="24"/>
                <w:szCs w:val="24"/>
              </w:rPr>
              <w:t>1.</w:t>
            </w:r>
            <w:r>
              <w:rPr>
                <w:rFonts w:hint="eastAsia" w:ascii="仿宋_GB2312" w:eastAsia="仿宋_GB2312" w:cs="宋体"/>
                <w:kern w:val="0"/>
                <w:sz w:val="24"/>
                <w:szCs w:val="24"/>
              </w:rPr>
              <w:t>科学原理的探索、发现；</w:t>
            </w:r>
            <w:r>
              <w:rPr>
                <w:rFonts w:hint="eastAsia" w:ascii="仿宋_GB2312" w:eastAsia="仿宋_GB2312"/>
                <w:kern w:val="0"/>
                <w:sz w:val="24"/>
                <w:szCs w:val="24"/>
              </w:rPr>
              <w:t>2</w:t>
            </w:r>
            <w:r>
              <w:rPr>
                <w:rFonts w:hint="eastAsia" w:ascii="仿宋_GB2312" w:eastAsia="仿宋_GB2312" w:cs="宋体"/>
                <w:kern w:val="0"/>
                <w:sz w:val="24"/>
                <w:szCs w:val="24"/>
              </w:rPr>
              <w:t>．技术原理的研究；</w:t>
            </w:r>
            <w:r>
              <w:rPr>
                <w:rFonts w:hint="eastAsia" w:ascii="仿宋_GB2312" w:eastAsia="仿宋_GB2312"/>
                <w:kern w:val="0"/>
                <w:sz w:val="24"/>
                <w:szCs w:val="24"/>
              </w:rPr>
              <w:t>3.</w:t>
            </w:r>
            <w:r>
              <w:rPr>
                <w:rFonts w:hint="eastAsia" w:ascii="仿宋_GB2312" w:eastAsia="仿宋_GB2312" w:cs="宋体"/>
                <w:kern w:val="0"/>
                <w:sz w:val="24"/>
                <w:szCs w:val="24"/>
              </w:rPr>
              <w:t>开发全新产品；</w:t>
            </w:r>
            <w:r>
              <w:rPr>
                <w:rFonts w:hint="eastAsia" w:ascii="仿宋_GB2312" w:eastAsia="仿宋_GB2312"/>
                <w:kern w:val="0"/>
                <w:sz w:val="24"/>
                <w:szCs w:val="24"/>
              </w:rPr>
              <w:t>4.</w:t>
            </w:r>
            <w:r>
              <w:rPr>
                <w:rFonts w:hint="eastAsia" w:ascii="仿宋_GB2312" w:eastAsia="仿宋_GB2312" w:cs="宋体"/>
                <w:kern w:val="0"/>
                <w:sz w:val="24"/>
                <w:szCs w:val="24"/>
              </w:rPr>
              <w:t>增加产品功能或提高性能；</w:t>
            </w:r>
            <w:r>
              <w:rPr>
                <w:rFonts w:hint="eastAsia" w:ascii="仿宋_GB2312" w:eastAsia="仿宋_GB2312"/>
                <w:kern w:val="0"/>
                <w:sz w:val="24"/>
                <w:szCs w:val="24"/>
              </w:rPr>
              <w:t>5.</w:t>
            </w:r>
            <w:r>
              <w:rPr>
                <w:rFonts w:hint="eastAsia" w:ascii="仿宋_GB2312" w:eastAsia="仿宋_GB2312" w:cs="宋体"/>
                <w:kern w:val="0"/>
                <w:sz w:val="24"/>
                <w:szCs w:val="24"/>
              </w:rPr>
              <w:t>提高劳动生产率；</w:t>
            </w:r>
            <w:r>
              <w:rPr>
                <w:rFonts w:hint="eastAsia" w:ascii="仿宋_GB2312" w:eastAsia="仿宋_GB2312"/>
                <w:kern w:val="0"/>
                <w:sz w:val="24"/>
                <w:szCs w:val="24"/>
              </w:rPr>
              <w:t>6.</w:t>
            </w:r>
            <w:r>
              <w:rPr>
                <w:rFonts w:hint="eastAsia" w:ascii="仿宋_GB2312" w:eastAsia="仿宋_GB2312" w:cs="宋体"/>
                <w:kern w:val="0"/>
                <w:sz w:val="24"/>
                <w:szCs w:val="24"/>
              </w:rPr>
              <w:t>减少能源消耗或提高能源使用效率；</w:t>
            </w:r>
            <w:r>
              <w:rPr>
                <w:rFonts w:hint="eastAsia" w:ascii="仿宋_GB2312" w:eastAsia="仿宋_GB2312"/>
                <w:kern w:val="0"/>
                <w:sz w:val="24"/>
                <w:szCs w:val="24"/>
              </w:rPr>
              <w:t>7.</w:t>
            </w:r>
            <w:r>
              <w:rPr>
                <w:rFonts w:hint="eastAsia" w:ascii="仿宋_GB2312" w:eastAsia="仿宋_GB2312" w:cs="宋体"/>
                <w:kern w:val="0"/>
                <w:sz w:val="24"/>
                <w:szCs w:val="24"/>
              </w:rPr>
              <w:t>节约原材料；</w:t>
            </w:r>
            <w:r>
              <w:rPr>
                <w:rFonts w:hint="eastAsia" w:ascii="仿宋_GB2312" w:eastAsia="仿宋_GB2312"/>
                <w:kern w:val="0"/>
                <w:sz w:val="24"/>
                <w:szCs w:val="24"/>
              </w:rPr>
              <w:t>8.</w:t>
            </w:r>
            <w:r>
              <w:rPr>
                <w:rFonts w:hint="eastAsia" w:ascii="仿宋_GB2312" w:eastAsia="仿宋_GB2312" w:cs="宋体"/>
                <w:kern w:val="0"/>
                <w:sz w:val="24"/>
                <w:szCs w:val="24"/>
              </w:rPr>
              <w:t>减少环境污染；</w:t>
            </w:r>
            <w:r>
              <w:rPr>
                <w:rFonts w:hint="eastAsia" w:ascii="仿宋_GB2312" w:eastAsia="仿宋_GB2312"/>
                <w:kern w:val="0"/>
                <w:sz w:val="24"/>
                <w:szCs w:val="24"/>
              </w:rPr>
              <w:t>9.</w:t>
            </w:r>
            <w:r>
              <w:rPr>
                <w:rFonts w:hint="eastAsia" w:ascii="仿宋_GB2312" w:eastAsia="仿宋_GB2312" w:cs="宋体"/>
                <w:kern w:val="0"/>
                <w:sz w:val="24"/>
                <w:szCs w:val="24"/>
              </w:rPr>
              <w:t>其他。</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4.</w:t>
            </w:r>
            <w:r>
              <w:rPr>
                <w:rFonts w:hint="eastAsia" w:ascii="仿宋_GB2312" w:eastAsia="仿宋_GB2312" w:cs="宋体"/>
                <w:kern w:val="0"/>
                <w:sz w:val="24"/>
                <w:szCs w:val="24"/>
              </w:rPr>
              <w:t>“起始时间”和“完成时间”为</w:t>
            </w:r>
            <w:r>
              <w:rPr>
                <w:rFonts w:hint="eastAsia" w:ascii="仿宋_GB2312" w:eastAsia="仿宋_GB2312"/>
                <w:kern w:val="0"/>
                <w:sz w:val="24"/>
                <w:szCs w:val="24"/>
              </w:rPr>
              <w:t>6</w:t>
            </w:r>
            <w:r>
              <w:rPr>
                <w:rFonts w:hint="eastAsia" w:ascii="仿宋_GB2312" w:eastAsia="仿宋_GB2312" w:cs="宋体"/>
                <w:kern w:val="0"/>
                <w:sz w:val="24"/>
                <w:szCs w:val="24"/>
              </w:rPr>
              <w:t>位编码，其中前</w:t>
            </w:r>
            <w:r>
              <w:rPr>
                <w:rFonts w:hint="eastAsia" w:ascii="仿宋_GB2312" w:eastAsia="仿宋_GB2312"/>
                <w:kern w:val="0"/>
                <w:sz w:val="24"/>
                <w:szCs w:val="24"/>
              </w:rPr>
              <w:t>4</w:t>
            </w:r>
            <w:r>
              <w:rPr>
                <w:rFonts w:hint="eastAsia" w:ascii="仿宋_GB2312" w:eastAsia="仿宋_GB2312" w:cs="宋体"/>
                <w:kern w:val="0"/>
                <w:sz w:val="24"/>
                <w:szCs w:val="24"/>
              </w:rPr>
              <w:t>位为年份，后</w:t>
            </w:r>
            <w:r>
              <w:rPr>
                <w:rFonts w:hint="eastAsia" w:ascii="仿宋_GB2312" w:eastAsia="仿宋_GB2312"/>
                <w:kern w:val="0"/>
                <w:sz w:val="24"/>
                <w:szCs w:val="24"/>
              </w:rPr>
              <w:t>2</w:t>
            </w:r>
            <w:r>
              <w:rPr>
                <w:rFonts w:hint="eastAsia" w:ascii="仿宋_GB2312" w:eastAsia="仿宋_GB2312" w:cs="宋体"/>
                <w:kern w:val="0"/>
                <w:sz w:val="24"/>
                <w:szCs w:val="24"/>
              </w:rPr>
              <w:t>位为月份（</w:t>
            </w:r>
            <w:r>
              <w:rPr>
                <w:rFonts w:hint="eastAsia" w:ascii="仿宋_GB2312" w:eastAsia="仿宋_GB2312"/>
                <w:kern w:val="0"/>
                <w:sz w:val="24"/>
                <w:szCs w:val="24"/>
              </w:rPr>
              <w:t>1</w:t>
            </w:r>
            <w:r>
              <w:rPr>
                <w:rFonts w:hint="eastAsia" w:ascii="仿宋_GB2312" w:eastAsia="仿宋_GB2312" w:cs="宋体"/>
                <w:kern w:val="0"/>
                <w:sz w:val="24"/>
                <w:szCs w:val="24"/>
              </w:rPr>
              <w:t>月至</w:t>
            </w:r>
            <w:r>
              <w:rPr>
                <w:rFonts w:hint="eastAsia" w:ascii="仿宋_GB2312" w:eastAsia="仿宋_GB2312"/>
                <w:kern w:val="0"/>
                <w:sz w:val="24"/>
                <w:szCs w:val="24"/>
              </w:rPr>
              <w:t>9</w:t>
            </w:r>
            <w:r>
              <w:rPr>
                <w:rFonts w:hint="eastAsia" w:ascii="仿宋_GB2312" w:eastAsia="仿宋_GB2312" w:cs="宋体"/>
                <w:kern w:val="0"/>
                <w:sz w:val="24"/>
                <w:szCs w:val="24"/>
              </w:rPr>
              <w:t>月必须前补</w:t>
            </w:r>
            <w:r>
              <w:rPr>
                <w:rFonts w:hint="eastAsia" w:ascii="仿宋_GB2312" w:eastAsia="仿宋_GB2312"/>
                <w:kern w:val="0"/>
                <w:sz w:val="24"/>
                <w:szCs w:val="24"/>
              </w:rPr>
              <w:t>0</w:t>
            </w:r>
            <w:r>
              <w:rPr>
                <w:rFonts w:hint="eastAsia" w:ascii="仿宋_GB2312" w:eastAsia="仿宋_GB2312" w:cs="宋体"/>
                <w:kern w:val="0"/>
                <w:sz w:val="24"/>
                <w:szCs w:val="24"/>
              </w:rPr>
              <w:t>）。</w:t>
            </w:r>
            <w:r>
              <w:rPr>
                <w:rFonts w:hint="eastAsia" w:ascii="仿宋_GB2312" w:eastAsia="仿宋_GB2312" w:cs="宋体"/>
                <w:color w:val="000000"/>
                <w:kern w:val="0"/>
                <w:sz w:val="24"/>
                <w:szCs w:val="24"/>
              </w:rPr>
              <w:t>例，项目起始时间为</w:t>
            </w:r>
            <w:r>
              <w:rPr>
                <w:rFonts w:hint="eastAsia" w:ascii="仿宋_GB2312" w:eastAsia="仿宋_GB2312"/>
                <w:color w:val="000000"/>
                <w:kern w:val="0"/>
                <w:sz w:val="24"/>
                <w:szCs w:val="24"/>
              </w:rPr>
              <w:t>2016</w:t>
            </w:r>
            <w:r>
              <w:rPr>
                <w:rFonts w:hint="eastAsia" w:ascii="仿宋_GB2312" w:eastAsia="仿宋_GB2312" w:cs="宋体"/>
                <w:color w:val="000000"/>
                <w:kern w:val="0"/>
                <w:sz w:val="24"/>
                <w:szCs w:val="24"/>
              </w:rPr>
              <w:t>年</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月，填写编码为“</w:t>
            </w:r>
            <w:r>
              <w:rPr>
                <w:rFonts w:hint="eastAsia" w:ascii="仿宋_GB2312" w:eastAsia="仿宋_GB2312"/>
                <w:color w:val="000000"/>
                <w:kern w:val="0"/>
                <w:sz w:val="24"/>
                <w:szCs w:val="24"/>
              </w:rPr>
              <w:t>201601</w:t>
            </w:r>
            <w:r>
              <w:rPr>
                <w:rFonts w:hint="eastAsia" w:ascii="仿宋_GB2312" w:eastAsia="仿宋_GB2312" w:cs="宋体"/>
                <w:color w:val="000000"/>
                <w:kern w:val="0"/>
                <w:sz w:val="24"/>
                <w:szCs w:val="24"/>
              </w:rPr>
              <w:t>”。</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pacing w:val="-10"/>
                <w:kern w:val="0"/>
                <w:sz w:val="24"/>
                <w:szCs w:val="24"/>
              </w:rPr>
            </w:pPr>
            <w:r>
              <w:rPr>
                <w:rFonts w:hint="eastAsia" w:ascii="仿宋_GB2312" w:eastAsia="仿宋_GB2312"/>
                <w:spacing w:val="-10"/>
                <w:kern w:val="0"/>
                <w:sz w:val="24"/>
                <w:szCs w:val="24"/>
              </w:rPr>
              <w:t>5.</w:t>
            </w:r>
            <w:r>
              <w:rPr>
                <w:rFonts w:hint="eastAsia" w:ascii="仿宋_GB2312" w:eastAsia="仿宋_GB2312" w:cs="宋体"/>
                <w:spacing w:val="-10"/>
                <w:kern w:val="0"/>
                <w:sz w:val="24"/>
                <w:szCs w:val="24"/>
              </w:rPr>
              <w:t>“项目经费内部支出”是指该项目在报告年度的经费支出；跨年项目按报告年度实际支出填写。</w:t>
            </w:r>
          </w:p>
        </w:tc>
      </w:tr>
    </w:tbl>
    <w:p>
      <w:pPr>
        <w:pageBreakBefore w:val="0"/>
        <w:kinsoku/>
        <w:wordWrap/>
        <w:overflowPunct/>
        <w:topLinePunct w:val="0"/>
        <w:autoSpaceDE/>
        <w:autoSpaceDN/>
        <w:bidi w:val="0"/>
        <w:adjustRightInd/>
        <w:snapToGrid/>
        <w:spacing w:line="240" w:lineRule="auto"/>
        <w:ind w:left="0" w:leftChars="0"/>
        <w:jc w:val="center"/>
        <w:outlineLvl w:val="3"/>
        <w:rPr>
          <w:rFonts w:hint="eastAsia" w:ascii="仿宋_GB2312" w:eastAsia="仿宋_GB2312" w:cs="黑体"/>
          <w:b/>
          <w:color w:val="000000"/>
          <w:kern w:val="0"/>
          <w:sz w:val="30"/>
          <w:szCs w:val="30"/>
        </w:rPr>
      </w:pPr>
      <w:bookmarkStart w:id="10" w:name="_Toc466639364"/>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6</w:t>
      </w:r>
      <w:r>
        <w:rPr>
          <w:rFonts w:hint="eastAsia" w:ascii="仿宋_GB2312" w:eastAsia="仿宋_GB2312" w:cs="黑体"/>
          <w:b/>
          <w:color w:val="000000"/>
          <w:kern w:val="0"/>
          <w:sz w:val="30"/>
          <w:szCs w:val="30"/>
        </w:rPr>
        <w:t>：企业有效发明专利信息表</w:t>
      </w:r>
      <w:bookmarkEnd w:id="10"/>
    </w:p>
    <w:tbl>
      <w:tblPr>
        <w:tblStyle w:val="7"/>
        <w:tblW w:w="95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27"/>
        <w:gridCol w:w="2126"/>
        <w:gridCol w:w="1843"/>
        <w:gridCol w:w="141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bookmarkStart w:id="11" w:name="OLE_LINK15"/>
            <w:bookmarkStart w:id="12" w:name="OLE_LINK16"/>
            <w:r>
              <w:rPr>
                <w:rFonts w:hint="eastAsia" w:ascii="仿宋_GB2312" w:eastAsia="仿宋_GB2312" w:cs="宋体"/>
                <w:b/>
                <w:sz w:val="24"/>
                <w:szCs w:val="24"/>
              </w:rPr>
              <w:t>序号</w:t>
            </w:r>
          </w:p>
        </w:tc>
        <w:tc>
          <w:tcPr>
            <w:tcW w:w="1927"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专利名称</w:t>
            </w:r>
          </w:p>
        </w:tc>
        <w:tc>
          <w:tcPr>
            <w:tcW w:w="212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授权国别</w:t>
            </w:r>
          </w:p>
        </w:tc>
        <w:tc>
          <w:tcPr>
            <w:tcW w:w="1843"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专利号</w:t>
            </w:r>
          </w:p>
        </w:tc>
        <w:tc>
          <w:tcPr>
            <w:tcW w:w="1417"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专利权人</w:t>
            </w:r>
          </w:p>
        </w:tc>
        <w:tc>
          <w:tcPr>
            <w:tcW w:w="1559"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192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2126"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84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41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59"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192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2126"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84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41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59"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192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2126"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84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41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59"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192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2126"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84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41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59"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572" w:type="dxa"/>
            <w:gridSpan w:val="6"/>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cs="宋体"/>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pacing w:val="-6"/>
                <w:kern w:val="0"/>
                <w:sz w:val="24"/>
                <w:szCs w:val="24"/>
              </w:rPr>
            </w:pPr>
            <w:r>
              <w:rPr>
                <w:rFonts w:hint="eastAsia" w:ascii="仿宋_GB2312" w:eastAsia="仿宋_GB2312"/>
                <w:spacing w:val="-6"/>
                <w:kern w:val="0"/>
                <w:sz w:val="24"/>
                <w:szCs w:val="24"/>
              </w:rPr>
              <w:t>1.</w:t>
            </w:r>
            <w:r>
              <w:rPr>
                <w:rFonts w:hint="eastAsia" w:ascii="仿宋_GB2312" w:eastAsia="仿宋_GB2312" w:cs="宋体"/>
                <w:spacing w:val="-6"/>
                <w:kern w:val="0"/>
                <w:sz w:val="24"/>
                <w:szCs w:val="24"/>
              </w:rPr>
              <w:t>该表只填写有效“发明专利”，已经无效的专利和报告年度之后获得授权的专利不得列入。</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2.</w:t>
            </w:r>
            <w:r>
              <w:rPr>
                <w:rFonts w:hint="eastAsia" w:ascii="仿宋_GB2312" w:eastAsia="仿宋_GB2312" w:cs="宋体"/>
                <w:kern w:val="0"/>
                <w:sz w:val="24"/>
                <w:szCs w:val="24"/>
              </w:rPr>
              <w:t>所有填列专利信息请按照专利号顺序依次排列。</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3.</w:t>
            </w:r>
            <w:r>
              <w:rPr>
                <w:rFonts w:hint="eastAsia" w:ascii="仿宋_GB2312" w:eastAsia="仿宋_GB2312" w:cs="宋体"/>
                <w:kern w:val="0"/>
                <w:sz w:val="24"/>
                <w:szCs w:val="24"/>
              </w:rPr>
              <w:t>该表所填写信息需与《发明专利证书》内容一致。</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4.</w:t>
            </w:r>
            <w:r>
              <w:rPr>
                <w:rFonts w:hint="eastAsia" w:ascii="仿宋_GB2312" w:eastAsia="仿宋_GB2312" w:cs="宋体"/>
                <w:kern w:val="0"/>
                <w:sz w:val="24"/>
                <w:szCs w:val="24"/>
              </w:rPr>
              <w:t>“专利权人”应为技术中心所在企业或其下属企业</w:t>
            </w:r>
            <w:r>
              <w:rPr>
                <w:rFonts w:hint="eastAsia" w:ascii="仿宋_GB2312" w:eastAsia="仿宋_GB2312" w:cs="宋体"/>
                <w:color w:val="000000"/>
                <w:kern w:val="0"/>
                <w:sz w:val="24"/>
                <w:szCs w:val="24"/>
              </w:rPr>
              <w:t>，参股企业不得列入，下属企业为区级企业技术中心的不列入统计</w:t>
            </w:r>
            <w:r>
              <w:rPr>
                <w:rFonts w:hint="eastAsia" w:ascii="仿宋_GB2312" w:eastAsia="仿宋_GB2312" w:cs="宋体"/>
                <w:kern w:val="0"/>
                <w:sz w:val="24"/>
                <w:szCs w:val="24"/>
              </w:rPr>
              <w:t>。</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 xml:space="preserve">5. </w:t>
            </w:r>
            <w:r>
              <w:rPr>
                <w:rFonts w:hint="eastAsia" w:ascii="仿宋_GB2312" w:eastAsia="仿宋_GB2312" w:cs="宋体"/>
                <w:kern w:val="0"/>
                <w:sz w:val="24"/>
                <w:szCs w:val="24"/>
              </w:rPr>
              <w:t>“授权公告日”为</w:t>
            </w:r>
            <w:r>
              <w:rPr>
                <w:rFonts w:hint="eastAsia" w:ascii="仿宋_GB2312" w:eastAsia="仿宋_GB2312"/>
                <w:kern w:val="0"/>
                <w:sz w:val="24"/>
                <w:szCs w:val="24"/>
              </w:rPr>
              <w:t>6</w:t>
            </w:r>
            <w:r>
              <w:rPr>
                <w:rFonts w:hint="eastAsia" w:ascii="仿宋_GB2312" w:eastAsia="仿宋_GB2312" w:cs="宋体"/>
                <w:kern w:val="0"/>
                <w:sz w:val="24"/>
                <w:szCs w:val="24"/>
              </w:rPr>
              <w:t>位编码，其中前</w:t>
            </w:r>
            <w:r>
              <w:rPr>
                <w:rFonts w:hint="eastAsia" w:ascii="仿宋_GB2312" w:eastAsia="仿宋_GB2312"/>
                <w:kern w:val="0"/>
                <w:sz w:val="24"/>
                <w:szCs w:val="24"/>
              </w:rPr>
              <w:t>4</w:t>
            </w:r>
            <w:r>
              <w:rPr>
                <w:rFonts w:hint="eastAsia" w:ascii="仿宋_GB2312" w:eastAsia="仿宋_GB2312" w:cs="宋体"/>
                <w:kern w:val="0"/>
                <w:sz w:val="24"/>
                <w:szCs w:val="24"/>
              </w:rPr>
              <w:t>位为年份，后</w:t>
            </w:r>
            <w:r>
              <w:rPr>
                <w:rFonts w:hint="eastAsia" w:ascii="仿宋_GB2312" w:eastAsia="仿宋_GB2312"/>
                <w:kern w:val="0"/>
                <w:sz w:val="24"/>
                <w:szCs w:val="24"/>
              </w:rPr>
              <w:t>2</w:t>
            </w:r>
            <w:r>
              <w:rPr>
                <w:rFonts w:hint="eastAsia" w:ascii="仿宋_GB2312" w:eastAsia="仿宋_GB2312" w:cs="宋体"/>
                <w:kern w:val="0"/>
                <w:sz w:val="24"/>
                <w:szCs w:val="24"/>
              </w:rPr>
              <w:t>位为月份（</w:t>
            </w:r>
            <w:r>
              <w:rPr>
                <w:rFonts w:hint="eastAsia" w:ascii="仿宋_GB2312" w:eastAsia="仿宋_GB2312"/>
                <w:kern w:val="0"/>
                <w:sz w:val="24"/>
                <w:szCs w:val="24"/>
              </w:rPr>
              <w:t>1</w:t>
            </w:r>
            <w:r>
              <w:rPr>
                <w:rFonts w:hint="eastAsia" w:ascii="仿宋_GB2312" w:eastAsia="仿宋_GB2312" w:cs="宋体"/>
                <w:kern w:val="0"/>
                <w:sz w:val="24"/>
                <w:szCs w:val="24"/>
              </w:rPr>
              <w:t>月至</w:t>
            </w:r>
            <w:r>
              <w:rPr>
                <w:rFonts w:hint="eastAsia" w:ascii="仿宋_GB2312" w:eastAsia="仿宋_GB2312"/>
                <w:kern w:val="0"/>
                <w:sz w:val="24"/>
                <w:szCs w:val="24"/>
              </w:rPr>
              <w:t>9</w:t>
            </w:r>
            <w:r>
              <w:rPr>
                <w:rFonts w:hint="eastAsia" w:ascii="仿宋_GB2312" w:eastAsia="仿宋_GB2312" w:cs="宋体"/>
                <w:kern w:val="0"/>
                <w:sz w:val="24"/>
                <w:szCs w:val="24"/>
              </w:rPr>
              <w:t>月必须前补</w:t>
            </w:r>
            <w:r>
              <w:rPr>
                <w:rFonts w:hint="eastAsia" w:ascii="仿宋_GB2312" w:eastAsia="仿宋_GB2312"/>
                <w:kern w:val="0"/>
                <w:sz w:val="24"/>
                <w:szCs w:val="24"/>
              </w:rPr>
              <w:t>0</w:t>
            </w:r>
            <w:r>
              <w:rPr>
                <w:rFonts w:hint="eastAsia" w:ascii="仿宋_GB2312" w:eastAsia="仿宋_GB2312" w:cs="宋体"/>
                <w:kern w:val="0"/>
                <w:sz w:val="24"/>
                <w:szCs w:val="24"/>
              </w:rPr>
              <w:t>）。</w:t>
            </w:r>
            <w:r>
              <w:rPr>
                <w:rFonts w:hint="eastAsia" w:ascii="仿宋_GB2312" w:eastAsia="仿宋_GB2312" w:cs="宋体"/>
                <w:color w:val="000000"/>
                <w:kern w:val="0"/>
                <w:sz w:val="24"/>
                <w:szCs w:val="24"/>
              </w:rPr>
              <w:t>例，</w:t>
            </w:r>
            <w:r>
              <w:rPr>
                <w:rFonts w:hint="eastAsia" w:ascii="仿宋_GB2312" w:eastAsia="仿宋_GB2312" w:cs="宋体"/>
                <w:kern w:val="0"/>
                <w:sz w:val="24"/>
                <w:szCs w:val="24"/>
              </w:rPr>
              <w:t>授权公告日</w:t>
            </w:r>
            <w:r>
              <w:rPr>
                <w:rFonts w:hint="eastAsia" w:ascii="仿宋_GB2312" w:eastAsia="仿宋_GB2312" w:cs="宋体"/>
                <w:color w:val="000000"/>
                <w:kern w:val="0"/>
                <w:sz w:val="24"/>
                <w:szCs w:val="24"/>
              </w:rPr>
              <w:t>为</w:t>
            </w:r>
            <w:r>
              <w:rPr>
                <w:rFonts w:hint="eastAsia" w:ascii="仿宋_GB2312" w:eastAsia="仿宋_GB2312"/>
                <w:color w:val="000000"/>
                <w:kern w:val="0"/>
                <w:sz w:val="24"/>
                <w:szCs w:val="24"/>
              </w:rPr>
              <w:t>2016</w:t>
            </w:r>
            <w:r>
              <w:rPr>
                <w:rFonts w:hint="eastAsia" w:ascii="仿宋_GB2312" w:eastAsia="仿宋_GB2312" w:cs="宋体"/>
                <w:color w:val="000000"/>
                <w:kern w:val="0"/>
                <w:sz w:val="24"/>
                <w:szCs w:val="24"/>
              </w:rPr>
              <w:t>年</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月，填写编码为“</w:t>
            </w:r>
            <w:r>
              <w:rPr>
                <w:rFonts w:hint="eastAsia" w:ascii="仿宋_GB2312" w:eastAsia="仿宋_GB2312"/>
                <w:color w:val="000000"/>
                <w:kern w:val="0"/>
                <w:sz w:val="24"/>
                <w:szCs w:val="24"/>
              </w:rPr>
              <w:t>201601</w:t>
            </w:r>
            <w:r>
              <w:rPr>
                <w:rFonts w:hint="eastAsia" w:ascii="仿宋_GB2312" w:eastAsia="仿宋_GB2312" w:cs="宋体"/>
                <w:color w:val="000000"/>
                <w:kern w:val="0"/>
                <w:sz w:val="24"/>
                <w:szCs w:val="24"/>
              </w:rPr>
              <w:t>”。</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6.</w:t>
            </w:r>
            <w:r>
              <w:rPr>
                <w:rFonts w:hint="eastAsia" w:ascii="仿宋_GB2312" w:eastAsia="仿宋_GB2312" w:cs="宋体"/>
                <w:kern w:val="0"/>
                <w:sz w:val="24"/>
                <w:szCs w:val="24"/>
              </w:rPr>
              <w:t>若知识产权局网站上不可查询到的授权发明专利，需提供授权证书复印件。</w:t>
            </w:r>
          </w:p>
        </w:tc>
      </w:tr>
      <w:bookmarkEnd w:id="11"/>
      <w:bookmarkEnd w:id="12"/>
    </w:tbl>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bookmarkStart w:id="13" w:name="_Toc466639365"/>
      <w:bookmarkStart w:id="24" w:name="_GoBack"/>
      <w:bookmarkEnd w:id="24"/>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7</w:t>
      </w:r>
      <w:r>
        <w:rPr>
          <w:rFonts w:hint="eastAsia" w:ascii="仿宋_GB2312" w:eastAsia="仿宋_GB2312" w:cs="黑体"/>
          <w:b/>
          <w:color w:val="000000"/>
          <w:kern w:val="0"/>
          <w:sz w:val="30"/>
          <w:szCs w:val="30"/>
        </w:rPr>
        <w:t>：企业全部对外转让或许可的专利数</w:t>
      </w:r>
      <w:bookmarkEnd w:id="13"/>
    </w:p>
    <w:tbl>
      <w:tblPr>
        <w:tblStyle w:val="7"/>
        <w:tblW w:w="94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87"/>
        <w:gridCol w:w="1217"/>
        <w:gridCol w:w="1218"/>
        <w:gridCol w:w="1218"/>
        <w:gridCol w:w="1218"/>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b/>
                <w:kern w:val="0"/>
                <w:sz w:val="24"/>
                <w:szCs w:val="24"/>
              </w:rPr>
            </w:pPr>
            <w:r>
              <w:rPr>
                <w:rFonts w:hint="eastAsia" w:ascii="仿宋_GB2312" w:eastAsia="仿宋_GB2312" w:cs="宋体"/>
                <w:b/>
                <w:kern w:val="0"/>
                <w:sz w:val="24"/>
                <w:szCs w:val="24"/>
              </w:rPr>
              <w:t>序号</w:t>
            </w:r>
          </w:p>
        </w:tc>
        <w:tc>
          <w:tcPr>
            <w:tcW w:w="1887"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kern w:val="0"/>
                <w:sz w:val="24"/>
                <w:szCs w:val="24"/>
              </w:rPr>
            </w:pPr>
            <w:r>
              <w:rPr>
                <w:rFonts w:hint="eastAsia" w:ascii="仿宋_GB2312" w:eastAsia="仿宋_GB2312" w:cs="宋体"/>
                <w:b/>
                <w:kern w:val="0"/>
                <w:sz w:val="24"/>
                <w:szCs w:val="24"/>
              </w:rPr>
              <w:t>专利名称</w:t>
            </w:r>
          </w:p>
        </w:tc>
        <w:tc>
          <w:tcPr>
            <w:tcW w:w="1217"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kern w:val="0"/>
                <w:sz w:val="24"/>
                <w:szCs w:val="24"/>
              </w:rPr>
            </w:pPr>
            <w:r>
              <w:rPr>
                <w:rFonts w:hint="eastAsia" w:ascii="仿宋_GB2312" w:eastAsia="仿宋_GB2312" w:cs="宋体"/>
                <w:b/>
                <w:kern w:val="0"/>
                <w:sz w:val="24"/>
                <w:szCs w:val="24"/>
              </w:rPr>
              <w:t>专利类型</w:t>
            </w:r>
          </w:p>
        </w:tc>
        <w:tc>
          <w:tcPr>
            <w:tcW w:w="1218"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kern w:val="0"/>
                <w:sz w:val="24"/>
                <w:szCs w:val="24"/>
              </w:rPr>
            </w:pPr>
            <w:r>
              <w:rPr>
                <w:rFonts w:hint="eastAsia" w:ascii="仿宋_GB2312" w:eastAsia="仿宋_GB2312" w:cs="宋体"/>
                <w:b/>
                <w:kern w:val="0"/>
                <w:sz w:val="24"/>
                <w:szCs w:val="24"/>
              </w:rPr>
              <w:t>专利号</w:t>
            </w:r>
          </w:p>
        </w:tc>
        <w:tc>
          <w:tcPr>
            <w:tcW w:w="1218"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kern w:val="0"/>
                <w:sz w:val="24"/>
                <w:szCs w:val="24"/>
              </w:rPr>
            </w:pPr>
            <w:r>
              <w:rPr>
                <w:rFonts w:hint="eastAsia" w:ascii="仿宋_GB2312" w:eastAsia="仿宋_GB2312" w:cs="宋体"/>
                <w:b/>
                <w:kern w:val="0"/>
                <w:sz w:val="24"/>
                <w:szCs w:val="24"/>
              </w:rPr>
              <w:t>转让方</w:t>
            </w:r>
          </w:p>
        </w:tc>
        <w:tc>
          <w:tcPr>
            <w:tcW w:w="1218"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kern w:val="0"/>
                <w:sz w:val="24"/>
                <w:szCs w:val="24"/>
              </w:rPr>
            </w:pPr>
            <w:r>
              <w:rPr>
                <w:rFonts w:hint="eastAsia" w:ascii="仿宋_GB2312" w:eastAsia="仿宋_GB2312" w:cs="宋体"/>
                <w:b/>
                <w:kern w:val="0"/>
                <w:sz w:val="24"/>
                <w:szCs w:val="24"/>
              </w:rPr>
              <w:t>受让方</w:t>
            </w:r>
          </w:p>
        </w:tc>
        <w:tc>
          <w:tcPr>
            <w:tcW w:w="1852"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s="宋体"/>
                <w:b/>
                <w:kern w:val="0"/>
                <w:sz w:val="24"/>
                <w:szCs w:val="24"/>
              </w:rPr>
            </w:pPr>
            <w:r>
              <w:rPr>
                <w:rFonts w:hint="eastAsia" w:ascii="仿宋_GB2312" w:eastAsia="仿宋_GB2312" w:cs="宋体"/>
                <w:b/>
                <w:kern w:val="0"/>
                <w:sz w:val="24"/>
                <w:szCs w:val="24"/>
              </w:rPr>
              <w:t>合同金额</w:t>
            </w:r>
          </w:p>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kern w:val="0"/>
                <w:sz w:val="24"/>
                <w:szCs w:val="24"/>
              </w:rPr>
            </w:pPr>
            <w:r>
              <w:rPr>
                <w:rFonts w:hint="eastAsia" w:ascii="仿宋_GB2312" w:eastAsia="仿宋_GB2312" w:cs="宋体"/>
                <w:b/>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kern w:val="0"/>
                <w:sz w:val="24"/>
                <w:szCs w:val="24"/>
              </w:rPr>
            </w:pPr>
            <w:r>
              <w:rPr>
                <w:rFonts w:hint="eastAsia" w:ascii="仿宋_GB2312" w:eastAsia="仿宋_GB2312"/>
                <w:kern w:val="0"/>
                <w:sz w:val="24"/>
                <w:szCs w:val="24"/>
              </w:rPr>
              <w:t>1</w:t>
            </w:r>
          </w:p>
        </w:tc>
        <w:tc>
          <w:tcPr>
            <w:tcW w:w="1887"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7"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852"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kern w:val="0"/>
                <w:sz w:val="24"/>
                <w:szCs w:val="24"/>
              </w:rPr>
            </w:pPr>
            <w:r>
              <w:rPr>
                <w:rFonts w:hint="eastAsia" w:ascii="仿宋_GB2312" w:eastAsia="仿宋_GB2312"/>
                <w:kern w:val="0"/>
                <w:sz w:val="24"/>
                <w:szCs w:val="24"/>
              </w:rPr>
              <w:t>2</w:t>
            </w:r>
          </w:p>
        </w:tc>
        <w:tc>
          <w:tcPr>
            <w:tcW w:w="1887"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7"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852"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kern w:val="0"/>
                <w:sz w:val="24"/>
                <w:szCs w:val="24"/>
              </w:rPr>
            </w:pPr>
            <w:r>
              <w:rPr>
                <w:rFonts w:hint="eastAsia" w:ascii="仿宋_GB2312" w:eastAsia="仿宋_GB2312"/>
                <w:kern w:val="0"/>
                <w:sz w:val="24"/>
                <w:szCs w:val="24"/>
              </w:rPr>
              <w:t>…</w:t>
            </w:r>
          </w:p>
        </w:tc>
        <w:tc>
          <w:tcPr>
            <w:tcW w:w="1887"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7"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852"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ageBreakBefore w:val="0"/>
              <w:widowControl/>
              <w:kinsoku/>
              <w:wordWrap/>
              <w:overflowPunct/>
              <w:topLinePunct w:val="0"/>
              <w:autoSpaceDE/>
              <w:autoSpaceDN/>
              <w:bidi w:val="0"/>
              <w:adjustRightInd/>
              <w:snapToGrid/>
              <w:spacing w:line="240" w:lineRule="auto"/>
              <w:ind w:left="0" w:leftChars="0"/>
              <w:rPr>
                <w:rFonts w:ascii="仿宋_GB2312" w:eastAsia="仿宋_GB2312"/>
                <w:kern w:val="0"/>
                <w:sz w:val="24"/>
                <w:szCs w:val="24"/>
              </w:rPr>
            </w:pPr>
            <w:r>
              <w:rPr>
                <w:rFonts w:hint="eastAsia" w:ascii="仿宋_GB2312" w:eastAsia="仿宋_GB2312"/>
                <w:kern w:val="0"/>
                <w:sz w:val="24"/>
                <w:szCs w:val="24"/>
              </w:rPr>
              <w:t>n</w:t>
            </w:r>
          </w:p>
        </w:tc>
        <w:tc>
          <w:tcPr>
            <w:tcW w:w="1887"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7"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218"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c>
          <w:tcPr>
            <w:tcW w:w="1852" w:type="dxa"/>
            <w:vAlign w:val="top"/>
          </w:tcPr>
          <w:p>
            <w:pPr>
              <w:keepNext/>
              <w:keepLines/>
              <w:pageBreakBefore w:val="0"/>
              <w:widowControl/>
              <w:kinsoku/>
              <w:wordWrap/>
              <w:overflowPunct/>
              <w:topLinePunct w:val="0"/>
              <w:autoSpaceDE/>
              <w:autoSpaceDN/>
              <w:bidi w:val="0"/>
              <w:adjustRightInd/>
              <w:snapToGrid/>
              <w:spacing w:line="240" w:lineRule="auto"/>
              <w:ind w:left="0" w:leftChars="0"/>
              <w:outlineLvl w:val="2"/>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1" w:type="dxa"/>
            <w:gridSpan w:val="7"/>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cs="宋体"/>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 xml:space="preserve">1. </w:t>
            </w:r>
            <w:r>
              <w:rPr>
                <w:rFonts w:hint="eastAsia" w:ascii="仿宋_GB2312" w:eastAsia="仿宋_GB2312" w:cs="宋体"/>
                <w:kern w:val="0"/>
                <w:sz w:val="24"/>
                <w:szCs w:val="24"/>
              </w:rPr>
              <w:t>“专利类型”按相应的分类填写代码，具体的分类及代码是：</w:t>
            </w:r>
            <w:r>
              <w:rPr>
                <w:rFonts w:hint="eastAsia" w:ascii="仿宋_GB2312" w:eastAsia="仿宋_GB2312"/>
                <w:kern w:val="0"/>
                <w:sz w:val="24"/>
                <w:szCs w:val="24"/>
              </w:rPr>
              <w:t>1.</w:t>
            </w:r>
            <w:r>
              <w:rPr>
                <w:rFonts w:hint="eastAsia" w:ascii="仿宋_GB2312" w:eastAsia="仿宋_GB2312" w:cs="宋体"/>
                <w:kern w:val="0"/>
                <w:sz w:val="24"/>
                <w:szCs w:val="24"/>
              </w:rPr>
              <w:t>发明专利；</w:t>
            </w:r>
            <w:r>
              <w:rPr>
                <w:rFonts w:hint="eastAsia" w:ascii="仿宋_GB2312" w:eastAsia="仿宋_GB2312"/>
                <w:kern w:val="0"/>
                <w:sz w:val="24"/>
                <w:szCs w:val="24"/>
              </w:rPr>
              <w:t>2.</w:t>
            </w:r>
            <w:r>
              <w:rPr>
                <w:rFonts w:hint="eastAsia" w:ascii="仿宋_GB2312" w:eastAsia="仿宋_GB2312" w:cs="宋体"/>
                <w:kern w:val="0"/>
                <w:sz w:val="24"/>
                <w:szCs w:val="24"/>
              </w:rPr>
              <w:t>实用新型专利；</w:t>
            </w:r>
            <w:r>
              <w:rPr>
                <w:rFonts w:hint="eastAsia" w:ascii="仿宋_GB2312" w:eastAsia="仿宋_GB2312"/>
                <w:kern w:val="0"/>
                <w:sz w:val="24"/>
                <w:szCs w:val="24"/>
              </w:rPr>
              <w:t>3.</w:t>
            </w:r>
            <w:r>
              <w:rPr>
                <w:rFonts w:hint="eastAsia" w:ascii="仿宋_GB2312" w:eastAsia="仿宋_GB2312" w:cs="宋体"/>
                <w:kern w:val="0"/>
                <w:sz w:val="24"/>
                <w:szCs w:val="24"/>
              </w:rPr>
              <w:t>外观专利。</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2.</w:t>
            </w:r>
            <w:r>
              <w:rPr>
                <w:rFonts w:hint="eastAsia" w:ascii="仿宋_GB2312" w:eastAsia="仿宋_GB2312" w:cs="宋体"/>
                <w:kern w:val="0"/>
                <w:sz w:val="24"/>
                <w:szCs w:val="24"/>
              </w:rPr>
              <w:t>所有填列专利信息请按照专利号顺序依次排列。</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3.</w:t>
            </w:r>
            <w:r>
              <w:rPr>
                <w:rFonts w:hint="eastAsia" w:ascii="仿宋_GB2312" w:eastAsia="仿宋_GB2312" w:cs="宋体"/>
                <w:kern w:val="0"/>
                <w:sz w:val="24"/>
                <w:szCs w:val="24"/>
              </w:rPr>
              <w:t>该表所填写信息需与《发明专利证书》、《实用新型专利证书》和《外观设计专利证书》内容一致。</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4.</w:t>
            </w:r>
            <w:r>
              <w:rPr>
                <w:rFonts w:hint="eastAsia" w:ascii="仿宋_GB2312" w:eastAsia="仿宋_GB2312" w:cs="宋体"/>
                <w:kern w:val="0"/>
                <w:sz w:val="24"/>
                <w:szCs w:val="24"/>
              </w:rPr>
              <w:t>合同金额指签订的技术转让合同成交金额总数。</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kern w:val="0"/>
                <w:sz w:val="24"/>
                <w:szCs w:val="24"/>
              </w:rPr>
            </w:pPr>
            <w:r>
              <w:rPr>
                <w:rFonts w:hint="eastAsia" w:ascii="仿宋_GB2312" w:eastAsia="仿宋_GB2312"/>
                <w:kern w:val="0"/>
                <w:sz w:val="24"/>
                <w:szCs w:val="24"/>
              </w:rPr>
              <w:t>5.</w:t>
            </w:r>
            <w:r>
              <w:rPr>
                <w:rFonts w:hint="eastAsia" w:ascii="仿宋_GB2312" w:eastAsia="仿宋_GB2312" w:cs="宋体"/>
                <w:kern w:val="0"/>
                <w:sz w:val="24"/>
                <w:szCs w:val="24"/>
              </w:rPr>
              <w:t>需提供对外转让或许可的相关证明材料</w:t>
            </w:r>
          </w:p>
        </w:tc>
      </w:tr>
    </w:tbl>
    <w:p>
      <w:pPr>
        <w:pageBreakBefore w:val="0"/>
        <w:kinsoku/>
        <w:wordWrap/>
        <w:overflowPunct/>
        <w:topLinePunct w:val="0"/>
        <w:autoSpaceDE/>
        <w:autoSpaceDN/>
        <w:bidi w:val="0"/>
        <w:adjustRightInd/>
        <w:snapToGrid/>
        <w:spacing w:line="240" w:lineRule="auto"/>
        <w:ind w:left="0" w:leftChars="0"/>
        <w:jc w:val="center"/>
        <w:outlineLvl w:val="3"/>
        <w:rPr>
          <w:rFonts w:hint="eastAsia" w:ascii="仿宋_GB2312" w:eastAsia="仿宋_GB2312" w:cs="黑体"/>
          <w:b/>
          <w:color w:val="000000"/>
          <w:kern w:val="0"/>
          <w:sz w:val="30"/>
          <w:szCs w:val="30"/>
        </w:rPr>
      </w:pPr>
      <w:bookmarkStart w:id="14" w:name="_Toc466639367"/>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hint="eastAsia" w:ascii="仿宋_GB2312" w:eastAsia="仿宋_GB2312" w:cs="黑体"/>
          <w:b/>
          <w:color w:val="000000"/>
          <w:kern w:val="0"/>
          <w:sz w:val="30"/>
          <w:szCs w:val="30"/>
          <w:lang w:val="en-US" w:eastAsia="zh-CN"/>
        </w:rPr>
        <w:t>8</w:t>
      </w:r>
      <w:r>
        <w:rPr>
          <w:rFonts w:hint="eastAsia" w:ascii="仿宋_GB2312" w:eastAsia="仿宋_GB2312" w:cs="黑体"/>
          <w:b/>
          <w:color w:val="000000"/>
          <w:kern w:val="0"/>
          <w:sz w:val="30"/>
          <w:szCs w:val="30"/>
        </w:rPr>
        <w:t>：最近三年主持和参加制定的标准信息表</w:t>
      </w:r>
      <w:bookmarkEnd w:id="14"/>
    </w:p>
    <w:tbl>
      <w:tblPr>
        <w:tblStyle w:val="7"/>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1360"/>
        <w:gridCol w:w="14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8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序号</w:t>
            </w:r>
          </w:p>
        </w:tc>
        <w:tc>
          <w:tcPr>
            <w:tcW w:w="2857"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名称</w:t>
            </w:r>
          </w:p>
        </w:tc>
        <w:tc>
          <w:tcPr>
            <w:tcW w:w="1463"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标准类型</w:t>
            </w:r>
          </w:p>
        </w:tc>
        <w:tc>
          <w:tcPr>
            <w:tcW w:w="136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标准号</w:t>
            </w:r>
          </w:p>
        </w:tc>
        <w:tc>
          <w:tcPr>
            <w:tcW w:w="143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主持或参加</w:t>
            </w:r>
          </w:p>
        </w:tc>
        <w:tc>
          <w:tcPr>
            <w:tcW w:w="147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8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285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6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6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3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7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8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285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6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6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3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7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8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285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6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6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3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7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8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285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6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6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3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7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60" w:type="dxa"/>
            <w:gridSpan w:val="6"/>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最近三年指报告年度、报告年度前一年度、报告年度前二年度。</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所填标准应为现行有效标准。</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s="宋体"/>
                <w:color w:val="000000"/>
                <w:kern w:val="0"/>
                <w:sz w:val="24"/>
                <w:szCs w:val="24"/>
              </w:rPr>
            </w:pP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标准类型应按相应的分类代码填写，具体的分类及代码是：</w:t>
            </w:r>
          </w:p>
          <w:p>
            <w:pPr>
              <w:pageBreakBefore w:val="0"/>
              <w:widowControl/>
              <w:kinsoku/>
              <w:wordWrap/>
              <w:overflowPunct/>
              <w:topLinePunct w:val="0"/>
              <w:autoSpaceDE/>
              <w:autoSpaceDN/>
              <w:bidi w:val="0"/>
              <w:adjustRightInd/>
              <w:snapToGrid/>
              <w:spacing w:line="240" w:lineRule="auto"/>
              <w:ind w:left="0" w:leftChars="0" w:firstLine="240" w:firstLineChars="100"/>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国际；</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国家；</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行业；</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团体；</w:t>
            </w: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工法。</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请写明有效标准的标准号，其中工法请注明国家级、省部级、企业级。</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颁布日期为</w:t>
            </w:r>
            <w:r>
              <w:rPr>
                <w:rFonts w:hint="eastAsia" w:ascii="仿宋_GB2312" w:eastAsia="仿宋_GB2312"/>
                <w:color w:val="000000"/>
                <w:kern w:val="0"/>
                <w:sz w:val="24"/>
                <w:szCs w:val="24"/>
              </w:rPr>
              <w:t>6</w:t>
            </w:r>
            <w:r>
              <w:rPr>
                <w:rFonts w:hint="eastAsia" w:ascii="仿宋_GB2312" w:eastAsia="仿宋_GB2312" w:cs="宋体"/>
                <w:color w:val="000000"/>
                <w:kern w:val="0"/>
                <w:sz w:val="24"/>
                <w:szCs w:val="24"/>
              </w:rPr>
              <w:t>位编码，其中前</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位为年份，</w:t>
            </w:r>
            <w:r>
              <w:rPr>
                <w:rFonts w:hint="eastAsia" w:ascii="仿宋_GB2312" w:eastAsia="仿宋_GB2312"/>
                <w:color w:val="000000"/>
                <w:kern w:val="0"/>
                <w:sz w:val="24"/>
                <w:szCs w:val="24"/>
              </w:rPr>
              <w:t>5-6</w:t>
            </w:r>
            <w:r>
              <w:rPr>
                <w:rFonts w:hint="eastAsia" w:ascii="仿宋_GB2312" w:eastAsia="仿宋_GB2312" w:cs="宋体"/>
                <w:color w:val="000000"/>
                <w:kern w:val="0"/>
                <w:sz w:val="24"/>
                <w:szCs w:val="24"/>
              </w:rPr>
              <w:t>位为月份（</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月至</w:t>
            </w:r>
            <w:r>
              <w:rPr>
                <w:rFonts w:hint="eastAsia" w:ascii="仿宋_GB2312" w:eastAsia="仿宋_GB2312"/>
                <w:color w:val="000000"/>
                <w:kern w:val="0"/>
                <w:sz w:val="24"/>
                <w:szCs w:val="24"/>
              </w:rPr>
              <w:t>9</w:t>
            </w:r>
            <w:r>
              <w:rPr>
                <w:rFonts w:hint="eastAsia" w:ascii="仿宋_GB2312" w:eastAsia="仿宋_GB2312" w:cs="宋体"/>
                <w:color w:val="000000"/>
                <w:kern w:val="0"/>
                <w:sz w:val="24"/>
                <w:szCs w:val="24"/>
              </w:rPr>
              <w:t>月必须前补</w:t>
            </w:r>
            <w:r>
              <w:rPr>
                <w:rFonts w:hint="eastAsia" w:ascii="仿宋_GB2312" w:eastAsia="仿宋_GB2312"/>
                <w:color w:val="000000"/>
                <w:kern w:val="0"/>
                <w:sz w:val="24"/>
                <w:szCs w:val="24"/>
              </w:rPr>
              <w:t>0</w:t>
            </w:r>
            <w:r>
              <w:rPr>
                <w:rFonts w:hint="eastAsia" w:ascii="仿宋_GB2312" w:eastAsia="仿宋_GB2312" w:cs="宋体"/>
                <w:color w:val="000000"/>
                <w:kern w:val="0"/>
                <w:sz w:val="24"/>
                <w:szCs w:val="24"/>
              </w:rPr>
              <w:t>）。例，</w:t>
            </w:r>
            <w:r>
              <w:rPr>
                <w:rFonts w:hint="eastAsia" w:ascii="仿宋_GB2312" w:eastAsia="仿宋_GB2312" w:cs="宋体"/>
                <w:kern w:val="0"/>
                <w:sz w:val="24"/>
                <w:szCs w:val="24"/>
              </w:rPr>
              <w:t>颁布日期</w:t>
            </w:r>
            <w:r>
              <w:rPr>
                <w:rFonts w:hint="eastAsia" w:ascii="仿宋_GB2312" w:eastAsia="仿宋_GB2312" w:cs="宋体"/>
                <w:color w:val="000000"/>
                <w:kern w:val="0"/>
                <w:sz w:val="24"/>
                <w:szCs w:val="24"/>
              </w:rPr>
              <w:t>为</w:t>
            </w:r>
            <w:r>
              <w:rPr>
                <w:rFonts w:hint="eastAsia" w:ascii="仿宋_GB2312" w:eastAsia="仿宋_GB2312"/>
                <w:color w:val="000000"/>
                <w:kern w:val="0"/>
                <w:sz w:val="24"/>
                <w:szCs w:val="24"/>
              </w:rPr>
              <w:t>2016</w:t>
            </w:r>
            <w:r>
              <w:rPr>
                <w:rFonts w:hint="eastAsia" w:ascii="仿宋_GB2312" w:eastAsia="仿宋_GB2312" w:cs="宋体"/>
                <w:color w:val="000000"/>
                <w:kern w:val="0"/>
                <w:sz w:val="24"/>
                <w:szCs w:val="24"/>
              </w:rPr>
              <w:t>年</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月，填写编码为“</w:t>
            </w:r>
            <w:r>
              <w:rPr>
                <w:rFonts w:hint="eastAsia" w:ascii="仿宋_GB2312" w:eastAsia="仿宋_GB2312"/>
                <w:color w:val="000000"/>
                <w:kern w:val="0"/>
                <w:sz w:val="24"/>
                <w:szCs w:val="24"/>
              </w:rPr>
              <w:t>201601</w:t>
            </w:r>
            <w:r>
              <w:rPr>
                <w:rFonts w:hint="eastAsia" w:ascii="仿宋_GB2312" w:eastAsia="仿宋_GB2312" w:cs="宋体"/>
                <w:color w:val="000000"/>
                <w:kern w:val="0"/>
                <w:sz w:val="24"/>
                <w:szCs w:val="24"/>
              </w:rPr>
              <w:t>”。</w:t>
            </w:r>
          </w:p>
        </w:tc>
      </w:tr>
    </w:tbl>
    <w:p>
      <w:pPr>
        <w:pageBreakBefore w:val="0"/>
        <w:kinsoku/>
        <w:wordWrap/>
        <w:overflowPunct/>
        <w:topLinePunct w:val="0"/>
        <w:autoSpaceDE/>
        <w:autoSpaceDN/>
        <w:bidi w:val="0"/>
        <w:adjustRightInd/>
        <w:snapToGrid/>
        <w:spacing w:line="240" w:lineRule="auto"/>
        <w:ind w:left="0" w:leftChars="0"/>
        <w:jc w:val="center"/>
        <w:outlineLvl w:val="3"/>
        <w:rPr>
          <w:rFonts w:hint="eastAsia" w:ascii="仿宋_GB2312" w:eastAsia="仿宋_GB2312" w:cs="黑体"/>
          <w:b/>
          <w:color w:val="000000"/>
          <w:kern w:val="0"/>
          <w:sz w:val="30"/>
          <w:szCs w:val="30"/>
        </w:rPr>
      </w:pPr>
      <w:bookmarkStart w:id="15" w:name="_Toc466639368"/>
    </w:p>
    <w:p>
      <w:pPr>
        <w:pageBreakBefore w:val="0"/>
        <w:kinsoku/>
        <w:wordWrap/>
        <w:overflowPunct/>
        <w:topLinePunct w:val="0"/>
        <w:autoSpaceDE/>
        <w:autoSpaceDN/>
        <w:bidi w:val="0"/>
        <w:adjustRightInd/>
        <w:snapToGrid/>
        <w:spacing w:line="240" w:lineRule="auto"/>
        <w:ind w:left="0" w:leftChars="0"/>
        <w:jc w:val="center"/>
        <w:outlineLvl w:val="3"/>
        <w:rPr>
          <w:rFonts w:hint="eastAsia" w:ascii="仿宋_GB2312" w:eastAsia="仿宋_GB2312" w:cs="黑体"/>
          <w:b/>
          <w:color w:val="000000"/>
          <w:kern w:val="0"/>
          <w:sz w:val="30"/>
          <w:szCs w:val="30"/>
        </w:rPr>
      </w:pPr>
    </w:p>
    <w:p>
      <w:pPr>
        <w:pageBreakBefore w:val="0"/>
        <w:kinsoku/>
        <w:wordWrap/>
        <w:overflowPunct/>
        <w:topLinePunct w:val="0"/>
        <w:autoSpaceDE/>
        <w:autoSpaceDN/>
        <w:bidi w:val="0"/>
        <w:adjustRightInd/>
        <w:snapToGrid/>
        <w:spacing w:line="240" w:lineRule="auto"/>
        <w:ind w:left="0" w:leftChars="0"/>
        <w:jc w:val="center"/>
        <w:outlineLvl w:val="3"/>
        <w:rPr>
          <w:rFonts w:hint="eastAsia" w:ascii="仿宋_GB2312" w:eastAsia="仿宋_GB2312" w:cs="黑体"/>
          <w:b/>
          <w:color w:val="000000"/>
          <w:kern w:val="0"/>
          <w:sz w:val="30"/>
          <w:szCs w:val="30"/>
        </w:rPr>
      </w:pPr>
    </w:p>
    <w:p>
      <w:pPr>
        <w:pageBreakBefore w:val="0"/>
        <w:kinsoku/>
        <w:wordWrap/>
        <w:overflowPunct/>
        <w:topLinePunct w:val="0"/>
        <w:autoSpaceDE/>
        <w:autoSpaceDN/>
        <w:bidi w:val="0"/>
        <w:adjustRightInd/>
        <w:snapToGrid/>
        <w:spacing w:line="240" w:lineRule="auto"/>
        <w:ind w:left="0" w:leftChars="0"/>
        <w:jc w:val="center"/>
        <w:outlineLvl w:val="3"/>
        <w:rPr>
          <w:rFonts w:hint="eastAsia" w:ascii="仿宋_GB2312" w:eastAsia="仿宋_GB2312" w:cs="黑体"/>
          <w:b/>
          <w:color w:val="000000"/>
          <w:kern w:val="0"/>
          <w:sz w:val="30"/>
          <w:szCs w:val="30"/>
        </w:rPr>
      </w:pPr>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hint="eastAsia" w:ascii="仿宋_GB2312" w:eastAsia="仿宋_GB2312" w:cs="黑体"/>
          <w:b/>
          <w:color w:val="000000"/>
          <w:kern w:val="0"/>
          <w:sz w:val="30"/>
          <w:szCs w:val="30"/>
          <w:lang w:val="en-US" w:eastAsia="zh-CN"/>
        </w:rPr>
        <w:t>9</w:t>
      </w:r>
      <w:r>
        <w:rPr>
          <w:rFonts w:hint="eastAsia" w:ascii="仿宋_GB2312" w:eastAsia="仿宋_GB2312" w:cs="黑体"/>
          <w:b/>
          <w:color w:val="000000"/>
          <w:kern w:val="0"/>
          <w:sz w:val="30"/>
          <w:szCs w:val="30"/>
        </w:rPr>
        <w:t>：省级及以上研发平台信息表</w:t>
      </w:r>
      <w:bookmarkEnd w:id="15"/>
    </w:p>
    <w:tbl>
      <w:tblPr>
        <w:tblStyle w:val="7"/>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453"/>
        <w:gridCol w:w="940"/>
        <w:gridCol w:w="1480"/>
        <w:gridCol w:w="122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9"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序号</w:t>
            </w:r>
          </w:p>
        </w:tc>
        <w:tc>
          <w:tcPr>
            <w:tcW w:w="3453"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名称</w:t>
            </w:r>
          </w:p>
        </w:tc>
        <w:tc>
          <w:tcPr>
            <w:tcW w:w="94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级别</w:t>
            </w:r>
          </w:p>
        </w:tc>
        <w:tc>
          <w:tcPr>
            <w:tcW w:w="148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主管部门</w:t>
            </w:r>
          </w:p>
        </w:tc>
        <w:tc>
          <w:tcPr>
            <w:tcW w:w="122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平台类型</w:t>
            </w:r>
          </w:p>
        </w:tc>
        <w:tc>
          <w:tcPr>
            <w:tcW w:w="1748"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批复文号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9"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345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94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8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2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74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9"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345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94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8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2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74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9"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345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94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8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2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74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9"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3453"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94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8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20"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74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60" w:type="dxa"/>
            <w:gridSpan w:val="6"/>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r>
              <w:rPr>
                <w:rFonts w:hint="eastAsia" w:ascii="仿宋_GB2312" w:eastAsia="仿宋_GB2312"/>
                <w:color w:val="000000"/>
                <w:kern w:val="0"/>
                <w:sz w:val="24"/>
                <w:szCs w:val="24"/>
              </w:rPr>
              <w:br w:type="textWrapping"/>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技术中心所在企业或其下属企业需为研发平台的依托法人单位，企业作为参建单位的不得列入，下属企业为区级企业技术中心的不列入统计。</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“名称”、“批复文号”应与有关政府部门批复文件一致。</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“级别”应按相应的分类代码填写，具体的分类及代码是：</w:t>
            </w:r>
            <w:r>
              <w:rPr>
                <w:rFonts w:hint="eastAsia" w:ascii="仿宋_GB2312" w:eastAsia="仿宋_GB2312"/>
                <w:color w:val="000000"/>
                <w:kern w:val="0"/>
                <w:sz w:val="24"/>
                <w:szCs w:val="24"/>
              </w:rPr>
              <w:t xml:space="preserve">1. </w:t>
            </w:r>
            <w:r>
              <w:rPr>
                <w:rFonts w:hint="eastAsia" w:ascii="仿宋_GB2312" w:eastAsia="仿宋_GB2312" w:cs="宋体"/>
                <w:color w:val="000000"/>
                <w:kern w:val="0"/>
                <w:sz w:val="24"/>
                <w:szCs w:val="24"/>
              </w:rPr>
              <w:t>国家级；</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省级。</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“主管部门”填写平台的国家或省级主管政府部门名称。</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平台类型应按相应的分类代码填写，具体的分类及代码是：</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工程实验室；</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工程研究中心；</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工程技术研究中心；</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重点实验室；</w:t>
            </w: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国家地方联合工程实验室；</w:t>
            </w:r>
            <w:r>
              <w:rPr>
                <w:rFonts w:hint="eastAsia" w:ascii="仿宋_GB2312" w:eastAsia="仿宋_GB2312"/>
                <w:color w:val="000000"/>
                <w:kern w:val="0"/>
                <w:sz w:val="24"/>
                <w:szCs w:val="24"/>
              </w:rPr>
              <w:t>6.</w:t>
            </w:r>
            <w:r>
              <w:rPr>
                <w:rFonts w:hint="eastAsia" w:ascii="仿宋_GB2312" w:eastAsia="仿宋_GB2312" w:cs="宋体"/>
                <w:color w:val="000000"/>
                <w:kern w:val="0"/>
                <w:sz w:val="24"/>
                <w:szCs w:val="24"/>
              </w:rPr>
              <w:t>国家地方联合工程研究中心；</w:t>
            </w:r>
            <w:r>
              <w:rPr>
                <w:rFonts w:hint="eastAsia" w:ascii="仿宋_GB2312" w:eastAsia="仿宋_GB2312"/>
                <w:color w:val="000000"/>
                <w:kern w:val="0"/>
                <w:sz w:val="24"/>
                <w:szCs w:val="24"/>
              </w:rPr>
              <w:t>7.</w:t>
            </w:r>
            <w:r>
              <w:rPr>
                <w:rFonts w:hint="eastAsia" w:ascii="仿宋_GB2312" w:eastAsia="仿宋_GB2312" w:cs="宋体"/>
                <w:color w:val="000000"/>
                <w:kern w:val="0"/>
                <w:sz w:val="24"/>
                <w:szCs w:val="24"/>
              </w:rPr>
              <w:t>其他（需具体说明）。</w:t>
            </w:r>
          </w:p>
        </w:tc>
      </w:tr>
    </w:tbl>
    <w:p>
      <w:pPr>
        <w:pageBreakBefore w:val="0"/>
        <w:kinsoku/>
        <w:wordWrap/>
        <w:overflowPunct/>
        <w:topLinePunct w:val="0"/>
        <w:autoSpaceDE/>
        <w:autoSpaceDN/>
        <w:bidi w:val="0"/>
        <w:adjustRightInd/>
        <w:snapToGrid/>
        <w:spacing w:line="240" w:lineRule="auto"/>
        <w:ind w:left="0" w:leftChars="0"/>
        <w:rPr>
          <w:rFonts w:eastAsia="黑体"/>
          <w:color w:val="000000"/>
          <w:kern w:val="0"/>
          <w:sz w:val="22"/>
          <w:szCs w:val="22"/>
        </w:rPr>
      </w:pPr>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bookmarkStart w:id="16" w:name="_Toc466639369"/>
      <w:r>
        <w:rPr>
          <w:rFonts w:hint="eastAsia" w:ascii="仿宋_GB2312" w:eastAsia="仿宋_GB2312" w:cs="黑体"/>
          <w:b/>
          <w:color w:val="000000"/>
          <w:kern w:val="0"/>
          <w:sz w:val="30"/>
          <w:szCs w:val="30"/>
        </w:rPr>
        <w:t>附表</w:t>
      </w:r>
      <w:r>
        <w:rPr>
          <w:rFonts w:hint="eastAsia" w:ascii="仿宋_GB2312" w:eastAsia="仿宋_GB2312" w:cs="黑体"/>
          <w:b/>
          <w:color w:val="000000"/>
          <w:kern w:val="0"/>
          <w:sz w:val="30"/>
          <w:szCs w:val="30"/>
          <w:lang w:val="en-US" w:eastAsia="zh-CN"/>
        </w:rPr>
        <w:t>10</w:t>
      </w:r>
      <w:r>
        <w:rPr>
          <w:rFonts w:hint="eastAsia" w:ascii="仿宋_GB2312" w:eastAsia="仿宋_GB2312" w:cs="黑体"/>
          <w:b/>
          <w:color w:val="000000"/>
          <w:kern w:val="0"/>
          <w:sz w:val="30"/>
          <w:szCs w:val="30"/>
        </w:rPr>
        <w:t>：国家（国际组织）认证实验室和检测机构信息表</w:t>
      </w:r>
      <w:bookmarkEnd w:id="16"/>
    </w:p>
    <w:tbl>
      <w:tblPr>
        <w:tblStyle w:val="7"/>
        <w:tblW w:w="9728" w:type="dxa"/>
        <w:jc w:val="center"/>
        <w:tblInd w:w="0" w:type="dxa"/>
        <w:tblLayout w:type="fixed"/>
        <w:tblCellMar>
          <w:top w:w="0" w:type="dxa"/>
          <w:left w:w="108" w:type="dxa"/>
          <w:bottom w:w="0" w:type="dxa"/>
          <w:right w:w="108" w:type="dxa"/>
        </w:tblCellMar>
      </w:tblPr>
      <w:tblGrid>
        <w:gridCol w:w="1080"/>
        <w:gridCol w:w="2820"/>
        <w:gridCol w:w="1320"/>
        <w:gridCol w:w="1260"/>
        <w:gridCol w:w="1540"/>
        <w:gridCol w:w="1708"/>
      </w:tblGrid>
      <w:tr>
        <w:tblPrEx>
          <w:tblLayout w:type="fixed"/>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序号</w:t>
            </w:r>
          </w:p>
        </w:tc>
        <w:tc>
          <w:tcPr>
            <w:tcW w:w="282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名称</w:t>
            </w:r>
          </w:p>
        </w:tc>
        <w:tc>
          <w:tcPr>
            <w:tcW w:w="132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类型</w:t>
            </w:r>
          </w:p>
        </w:tc>
        <w:tc>
          <w:tcPr>
            <w:tcW w:w="126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发证机关</w:t>
            </w:r>
          </w:p>
        </w:tc>
        <w:tc>
          <w:tcPr>
            <w:tcW w:w="154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证书号</w:t>
            </w:r>
          </w:p>
        </w:tc>
        <w:tc>
          <w:tcPr>
            <w:tcW w:w="170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有效期</w:t>
            </w:r>
          </w:p>
        </w:tc>
      </w:tr>
      <w:tr>
        <w:tblPrEx>
          <w:tblLayout w:type="fixed"/>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282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2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6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4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70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282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2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6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4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70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28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4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70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28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2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6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4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70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20" w:hRule="atLeast"/>
          <w:jc w:val="center"/>
        </w:trPr>
        <w:tc>
          <w:tcPr>
            <w:tcW w:w="9728" w:type="dxa"/>
            <w:gridSpan w:val="6"/>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1.本表所填信息应与认证认可证书相关信息一致。</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2.“类型”指认证认可类型，应按相应的分类代码填写，具体的分类及代码是：</w:t>
            </w:r>
          </w:p>
          <w:p>
            <w:pPr>
              <w:pageBreakBefore w:val="0"/>
              <w:widowControl/>
              <w:kinsoku/>
              <w:wordWrap/>
              <w:overflowPunct/>
              <w:topLinePunct w:val="0"/>
              <w:autoSpaceDE/>
              <w:autoSpaceDN/>
              <w:bidi w:val="0"/>
              <w:adjustRightInd/>
              <w:snapToGrid/>
              <w:spacing w:line="240" w:lineRule="auto"/>
              <w:ind w:left="0" w:leftChars="0" w:firstLine="240" w:firstLineChars="100"/>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1.CNAS；2.CMA；3.CAL；4.其他（需具体说明）。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3.认证机关应按相应的分类代码填写，具体的分类及代码是：1. 中国合格评定国家认可委员会（CNAS）；2. 国家认证认可监督管理委员会（CNCA）；3. 其他国家（国际组织）认证认可机构（需具体说明）。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4.有效期为6位编码，其中前4位为年份，后2位为月份（1月至9月必须前补0），填写格式为“201410-201810”</w:t>
            </w:r>
          </w:p>
        </w:tc>
      </w:tr>
    </w:tbl>
    <w:p>
      <w:pPr>
        <w:pageBreakBefore w:val="0"/>
        <w:kinsoku/>
        <w:wordWrap/>
        <w:overflowPunct/>
        <w:topLinePunct w:val="0"/>
        <w:autoSpaceDE/>
        <w:autoSpaceDN/>
        <w:bidi w:val="0"/>
        <w:adjustRightInd/>
        <w:snapToGrid/>
        <w:spacing w:line="240" w:lineRule="auto"/>
        <w:ind w:left="0" w:leftChars="0"/>
      </w:pPr>
    </w:p>
    <w:p>
      <w:pPr>
        <w:pageBreakBefore w:val="0"/>
        <w:kinsoku/>
        <w:wordWrap/>
        <w:overflowPunct/>
        <w:topLinePunct w:val="0"/>
        <w:autoSpaceDE/>
        <w:autoSpaceDN/>
        <w:bidi w:val="0"/>
        <w:adjustRightInd/>
        <w:snapToGrid/>
        <w:spacing w:line="240" w:lineRule="auto"/>
        <w:ind w:left="0" w:leftChars="0"/>
      </w:pPr>
    </w:p>
    <w:p>
      <w:pPr>
        <w:pageBreakBefore w:val="0"/>
        <w:kinsoku/>
        <w:wordWrap/>
        <w:overflowPunct/>
        <w:topLinePunct w:val="0"/>
        <w:autoSpaceDE/>
        <w:autoSpaceDN/>
        <w:bidi w:val="0"/>
        <w:adjustRightInd/>
        <w:snapToGrid/>
        <w:spacing w:line="240" w:lineRule="auto"/>
        <w:ind w:left="0" w:leftChars="0"/>
      </w:pPr>
    </w:p>
    <w:p>
      <w:pPr>
        <w:pageBreakBefore w:val="0"/>
        <w:kinsoku/>
        <w:wordWrap/>
        <w:overflowPunct/>
        <w:topLinePunct w:val="0"/>
        <w:autoSpaceDE/>
        <w:autoSpaceDN/>
        <w:bidi w:val="0"/>
        <w:adjustRightInd/>
        <w:snapToGrid/>
        <w:spacing w:line="240" w:lineRule="auto"/>
        <w:ind w:left="0" w:leftChars="0"/>
      </w:pPr>
    </w:p>
    <w:p>
      <w:pPr>
        <w:pageBreakBefore w:val="0"/>
        <w:kinsoku/>
        <w:wordWrap/>
        <w:overflowPunct/>
        <w:topLinePunct w:val="0"/>
        <w:autoSpaceDE/>
        <w:autoSpaceDN/>
        <w:bidi w:val="0"/>
        <w:adjustRightInd/>
        <w:snapToGrid/>
        <w:spacing w:line="240" w:lineRule="auto"/>
        <w:ind w:left="0" w:leftChars="0"/>
      </w:pPr>
    </w:p>
    <w:p>
      <w:pPr>
        <w:pageBreakBefore w:val="0"/>
        <w:kinsoku/>
        <w:wordWrap/>
        <w:overflowPunct/>
        <w:topLinePunct w:val="0"/>
        <w:autoSpaceDE/>
        <w:autoSpaceDN/>
        <w:bidi w:val="0"/>
        <w:adjustRightInd/>
        <w:snapToGrid/>
        <w:spacing w:line="240" w:lineRule="auto"/>
        <w:ind w:left="0" w:leftChars="0"/>
      </w:pPr>
    </w:p>
    <w:p>
      <w:pPr>
        <w:pageBreakBefore w:val="0"/>
        <w:kinsoku/>
        <w:wordWrap/>
        <w:overflowPunct/>
        <w:topLinePunct w:val="0"/>
        <w:autoSpaceDE/>
        <w:autoSpaceDN/>
        <w:bidi w:val="0"/>
        <w:adjustRightInd/>
        <w:snapToGrid/>
        <w:spacing w:line="240" w:lineRule="auto"/>
        <w:ind w:left="0" w:leftChars="0"/>
      </w:pPr>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bookmarkStart w:id="17" w:name="_Toc466639370"/>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1</w:t>
      </w:r>
      <w:r>
        <w:rPr>
          <w:rFonts w:hint="eastAsia" w:ascii="仿宋_GB2312" w:eastAsia="仿宋_GB2312" w:cs="黑体"/>
          <w:b/>
          <w:color w:val="000000"/>
          <w:kern w:val="0"/>
          <w:sz w:val="30"/>
          <w:szCs w:val="30"/>
          <w:lang w:val="en-US" w:eastAsia="zh-CN"/>
        </w:rPr>
        <w:t>1</w:t>
      </w:r>
      <w:r>
        <w:rPr>
          <w:rFonts w:hint="eastAsia" w:ascii="仿宋_GB2312" w:eastAsia="仿宋_GB2312" w:cs="黑体"/>
          <w:b/>
          <w:color w:val="000000"/>
          <w:kern w:val="0"/>
          <w:sz w:val="30"/>
          <w:szCs w:val="30"/>
        </w:rPr>
        <w:t>：技术中心与其他机构组织合办研发机构信息表</w:t>
      </w:r>
      <w:bookmarkEnd w:id="17"/>
    </w:p>
    <w:tbl>
      <w:tblPr>
        <w:tblStyle w:val="7"/>
        <w:tblW w:w="97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2410"/>
        <w:gridCol w:w="212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序号</w:t>
            </w:r>
          </w:p>
        </w:tc>
        <w:tc>
          <w:tcPr>
            <w:tcW w:w="2977"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合办研发机构名称</w:t>
            </w:r>
          </w:p>
        </w:tc>
        <w:tc>
          <w:tcPr>
            <w:tcW w:w="241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合作单位名称</w:t>
            </w:r>
          </w:p>
        </w:tc>
        <w:tc>
          <w:tcPr>
            <w:tcW w:w="212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合作对方联系人</w:t>
            </w:r>
          </w:p>
        </w:tc>
        <w:tc>
          <w:tcPr>
            <w:tcW w:w="1571"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合作方式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09"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1</w:t>
            </w:r>
          </w:p>
        </w:tc>
        <w:tc>
          <w:tcPr>
            <w:tcW w:w="2977"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41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126"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1571"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09"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2</w:t>
            </w:r>
          </w:p>
        </w:tc>
        <w:tc>
          <w:tcPr>
            <w:tcW w:w="2977"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41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126"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1571"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2977"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41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126"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1571"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09"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2977"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41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126"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1571"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793" w:type="dxa"/>
            <w:gridSpan w:val="5"/>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s="宋体"/>
                <w:color w:val="000000"/>
                <w:kern w:val="0"/>
                <w:sz w:val="24"/>
                <w:szCs w:val="24"/>
              </w:rPr>
            </w:pPr>
            <w:r>
              <w:rPr>
                <w:rFonts w:hint="eastAsia" w:ascii="仿宋_GB2312" w:eastAsia="仿宋_GB2312"/>
                <w:color w:val="000000"/>
                <w:kern w:val="0"/>
                <w:sz w:val="24"/>
                <w:szCs w:val="24"/>
              </w:rPr>
              <w:t xml:space="preserve">1. </w:t>
            </w:r>
            <w:r>
              <w:rPr>
                <w:rFonts w:hint="eastAsia" w:ascii="仿宋_GB2312" w:eastAsia="仿宋_GB2312" w:cs="宋体"/>
                <w:color w:val="000000"/>
                <w:kern w:val="0"/>
                <w:sz w:val="24"/>
                <w:szCs w:val="24"/>
              </w:rPr>
              <w:t>“</w:t>
            </w:r>
            <w:r>
              <w:rPr>
                <w:rFonts w:hint="eastAsia" w:ascii="仿宋_GB2312" w:eastAsia="仿宋_GB2312" w:cs="宋体"/>
                <w:sz w:val="24"/>
                <w:szCs w:val="24"/>
              </w:rPr>
              <w:t>合作方式</w:t>
            </w:r>
            <w:r>
              <w:rPr>
                <w:rFonts w:hint="eastAsia" w:ascii="仿宋_GB2312" w:eastAsia="仿宋_GB2312" w:cs="宋体"/>
                <w:color w:val="000000"/>
                <w:kern w:val="0"/>
                <w:sz w:val="24"/>
                <w:szCs w:val="24"/>
              </w:rPr>
              <w:t>”应按相应的分类代码填写，具体的分类及代码是：</w:t>
            </w:r>
          </w:p>
          <w:p>
            <w:pPr>
              <w:pageBreakBefore w:val="0"/>
              <w:widowControl/>
              <w:kinsoku/>
              <w:wordWrap/>
              <w:overflowPunct/>
              <w:topLinePunct w:val="0"/>
              <w:autoSpaceDE/>
              <w:autoSpaceDN/>
              <w:bidi w:val="0"/>
              <w:adjustRightInd/>
              <w:snapToGrid/>
              <w:spacing w:line="240" w:lineRule="auto"/>
              <w:ind w:left="0" w:leftChars="0" w:firstLine="360" w:firstLineChars="150"/>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共建实验室；</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基地；</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院士工作站；</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博士后工作站；</w:t>
            </w: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其他（需具体说明）。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提供相应企业与合作方的协议等证明文件复印件。</w:t>
            </w:r>
          </w:p>
        </w:tc>
      </w:tr>
    </w:tbl>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bookmarkStart w:id="18" w:name="_Toc466639371"/>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1</w:t>
      </w:r>
      <w:r>
        <w:rPr>
          <w:rFonts w:hint="eastAsia" w:ascii="仿宋_GB2312" w:eastAsia="仿宋_GB2312" w:cs="黑体"/>
          <w:b/>
          <w:color w:val="000000"/>
          <w:kern w:val="0"/>
          <w:sz w:val="30"/>
          <w:szCs w:val="30"/>
          <w:lang w:val="en-US" w:eastAsia="zh-CN"/>
        </w:rPr>
        <w:t>2</w:t>
      </w:r>
      <w:r>
        <w:rPr>
          <w:rFonts w:hint="eastAsia" w:ascii="仿宋_GB2312" w:eastAsia="仿宋_GB2312" w:cs="黑体"/>
          <w:b/>
          <w:color w:val="000000"/>
          <w:kern w:val="0"/>
          <w:sz w:val="30"/>
          <w:szCs w:val="30"/>
        </w:rPr>
        <w:t>：技术中心在境外设立的研发机构信息表</w:t>
      </w:r>
      <w:bookmarkEnd w:id="18"/>
    </w:p>
    <w:tbl>
      <w:tblPr>
        <w:tblStyle w:val="7"/>
        <w:tblW w:w="9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160"/>
        <w:gridCol w:w="1427"/>
        <w:gridCol w:w="2334"/>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7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序号</w:t>
            </w:r>
          </w:p>
        </w:tc>
        <w:tc>
          <w:tcPr>
            <w:tcW w:w="316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境外设立机构名称</w:t>
            </w:r>
          </w:p>
        </w:tc>
        <w:tc>
          <w:tcPr>
            <w:tcW w:w="1427"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国家</w:t>
            </w:r>
            <w:r>
              <w:rPr>
                <w:rFonts w:hint="eastAsia" w:ascii="仿宋_GB2312" w:eastAsia="仿宋_GB2312"/>
                <w:b/>
                <w:sz w:val="24"/>
                <w:szCs w:val="24"/>
              </w:rPr>
              <w:t>/</w:t>
            </w:r>
            <w:r>
              <w:rPr>
                <w:rFonts w:hint="eastAsia" w:ascii="仿宋_GB2312" w:eastAsia="仿宋_GB2312" w:cs="宋体"/>
                <w:b/>
                <w:sz w:val="24"/>
                <w:szCs w:val="24"/>
              </w:rPr>
              <w:t>地区</w:t>
            </w:r>
          </w:p>
        </w:tc>
        <w:tc>
          <w:tcPr>
            <w:tcW w:w="2334"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设立时间</w:t>
            </w:r>
          </w:p>
        </w:tc>
        <w:tc>
          <w:tcPr>
            <w:tcW w:w="206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76"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1</w:t>
            </w:r>
          </w:p>
        </w:tc>
        <w:tc>
          <w:tcPr>
            <w:tcW w:w="316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1427"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334"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060" w:type="dxa"/>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76"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2</w:t>
            </w:r>
          </w:p>
        </w:tc>
        <w:tc>
          <w:tcPr>
            <w:tcW w:w="316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1427"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334"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060" w:type="dxa"/>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7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316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1427"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334"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060" w:type="dxa"/>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7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316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1427"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334"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sz w:val="24"/>
                <w:szCs w:val="24"/>
              </w:rPr>
            </w:pPr>
          </w:p>
        </w:tc>
        <w:tc>
          <w:tcPr>
            <w:tcW w:w="2060" w:type="dxa"/>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857" w:type="dxa"/>
            <w:gridSpan w:val="5"/>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请在备注栏简要说明该机构的主要研发方向，人员构成。</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提供机构设立的相关证明文件。</w:t>
            </w:r>
          </w:p>
        </w:tc>
      </w:tr>
    </w:tbl>
    <w:p>
      <w:pPr>
        <w:pageBreakBefore w:val="0"/>
        <w:kinsoku/>
        <w:wordWrap/>
        <w:overflowPunct/>
        <w:topLinePunct w:val="0"/>
        <w:autoSpaceDE/>
        <w:autoSpaceDN/>
        <w:bidi w:val="0"/>
        <w:adjustRightInd/>
        <w:snapToGrid/>
        <w:spacing w:line="240" w:lineRule="auto"/>
        <w:ind w:left="0" w:leftChars="0"/>
      </w:pPr>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bookmarkStart w:id="19" w:name="_Toc466639372"/>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1</w:t>
      </w:r>
      <w:r>
        <w:rPr>
          <w:rFonts w:hint="eastAsia" w:ascii="仿宋_GB2312" w:eastAsia="仿宋_GB2312" w:cs="黑体"/>
          <w:b/>
          <w:color w:val="000000"/>
          <w:kern w:val="0"/>
          <w:sz w:val="30"/>
          <w:szCs w:val="30"/>
          <w:lang w:val="en-US" w:eastAsia="zh-CN"/>
        </w:rPr>
        <w:t>3</w:t>
      </w:r>
      <w:r>
        <w:rPr>
          <w:rFonts w:hint="eastAsia" w:ascii="仿宋_GB2312" w:eastAsia="仿宋_GB2312" w:cs="黑体"/>
          <w:b/>
          <w:color w:val="000000"/>
          <w:kern w:val="0"/>
          <w:sz w:val="30"/>
          <w:szCs w:val="30"/>
        </w:rPr>
        <w:t>：近两年技术中心承担国家专项信息表</w:t>
      </w:r>
      <w:bookmarkEnd w:id="19"/>
    </w:p>
    <w:tbl>
      <w:tblPr>
        <w:tblStyle w:val="7"/>
        <w:tblW w:w="99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170"/>
        <w:gridCol w:w="1418"/>
        <w:gridCol w:w="1611"/>
        <w:gridCol w:w="1596"/>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9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序号</w:t>
            </w:r>
          </w:p>
        </w:tc>
        <w:tc>
          <w:tcPr>
            <w:tcW w:w="217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专项名称</w:t>
            </w:r>
          </w:p>
        </w:tc>
        <w:tc>
          <w:tcPr>
            <w:tcW w:w="1418"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项目来源</w:t>
            </w:r>
          </w:p>
        </w:tc>
        <w:tc>
          <w:tcPr>
            <w:tcW w:w="1611"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起始时间</w:t>
            </w:r>
          </w:p>
        </w:tc>
        <w:tc>
          <w:tcPr>
            <w:tcW w:w="159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完成时间</w:t>
            </w:r>
          </w:p>
        </w:tc>
        <w:tc>
          <w:tcPr>
            <w:tcW w:w="221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pacing w:val="-20"/>
                <w:sz w:val="24"/>
                <w:szCs w:val="24"/>
              </w:rPr>
            </w:pPr>
            <w:r>
              <w:rPr>
                <w:rFonts w:hint="eastAsia" w:ascii="仿宋_GB2312" w:eastAsia="仿宋_GB2312" w:cs="宋体"/>
                <w:b/>
                <w:spacing w:val="-20"/>
                <w:sz w:val="24"/>
                <w:szCs w:val="24"/>
              </w:rPr>
              <w:t>项目投入经费（千元）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96"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1</w:t>
            </w:r>
          </w:p>
        </w:tc>
        <w:tc>
          <w:tcPr>
            <w:tcW w:w="217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418"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611"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596"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221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96" w:type="dxa"/>
            <w:vAlign w:val="top"/>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2</w:t>
            </w:r>
          </w:p>
        </w:tc>
        <w:tc>
          <w:tcPr>
            <w:tcW w:w="217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418"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611"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596"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221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9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217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418"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611"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596"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221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9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217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418"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611"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1596"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c>
          <w:tcPr>
            <w:tcW w:w="2210" w:type="dxa"/>
            <w:vAlign w:val="top"/>
          </w:tcPr>
          <w:p>
            <w:pPr>
              <w:keepNext/>
              <w:keepLines/>
              <w:pageBreakBefore w:val="0"/>
              <w:widowControl/>
              <w:kinsoku/>
              <w:wordWrap/>
              <w:overflowPunct/>
              <w:topLinePunct w:val="0"/>
              <w:autoSpaceDE/>
              <w:autoSpaceDN/>
              <w:bidi w:val="0"/>
              <w:adjustRightInd/>
              <w:snapToGrid/>
              <w:spacing w:line="240" w:lineRule="auto"/>
              <w:ind w:left="0" w:leftChars="0"/>
              <w:jc w:val="left"/>
              <w:outlineLvl w:val="0"/>
              <w:rPr>
                <w:rFonts w:ascii="仿宋_GB2312"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901" w:type="dxa"/>
            <w:gridSpan w:val="6"/>
            <w:vAlign w:val="top"/>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1.“项目来源”包括：国家科技部、国家发改委、工信部等国家相关部委。</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2.“起始时间”和“完成时间”为6位编码，其中前4位为年份，后2位为月份（1月至9月必须前补0）。例，项目起始时间为2016年1月，填写编码为“201601”。</w:t>
            </w:r>
          </w:p>
        </w:tc>
      </w:tr>
    </w:tbl>
    <w:p>
      <w:pPr>
        <w:pageBreakBefore w:val="0"/>
        <w:kinsoku/>
        <w:wordWrap/>
        <w:overflowPunct/>
        <w:topLinePunct w:val="0"/>
        <w:autoSpaceDE/>
        <w:autoSpaceDN/>
        <w:bidi w:val="0"/>
        <w:adjustRightInd/>
        <w:snapToGrid/>
        <w:spacing w:line="240" w:lineRule="auto"/>
        <w:ind w:left="0" w:leftChars="0"/>
      </w:pPr>
    </w:p>
    <w:p>
      <w:pPr>
        <w:pageBreakBefore w:val="0"/>
        <w:kinsoku/>
        <w:wordWrap/>
        <w:overflowPunct/>
        <w:topLinePunct w:val="0"/>
        <w:autoSpaceDE/>
        <w:autoSpaceDN/>
        <w:bidi w:val="0"/>
        <w:adjustRightInd/>
        <w:snapToGrid/>
        <w:spacing w:line="240" w:lineRule="auto"/>
        <w:ind w:left="0" w:leftChars="0"/>
        <w:jc w:val="center"/>
        <w:outlineLvl w:val="3"/>
        <w:rPr>
          <w:rFonts w:ascii="仿宋_GB2312" w:eastAsia="仿宋_GB2312" w:cs="黑体"/>
          <w:b/>
          <w:color w:val="000000"/>
          <w:kern w:val="0"/>
          <w:sz w:val="30"/>
          <w:szCs w:val="30"/>
        </w:rPr>
      </w:pPr>
      <w:bookmarkStart w:id="20" w:name="_Toc466639373"/>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1</w:t>
      </w:r>
      <w:r>
        <w:rPr>
          <w:rFonts w:hint="eastAsia" w:ascii="仿宋_GB2312" w:eastAsia="仿宋_GB2312" w:cs="黑体"/>
          <w:b/>
          <w:color w:val="000000"/>
          <w:kern w:val="0"/>
          <w:sz w:val="30"/>
          <w:szCs w:val="30"/>
          <w:lang w:val="en-US" w:eastAsia="zh-CN"/>
        </w:rPr>
        <w:t>4</w:t>
      </w:r>
      <w:r>
        <w:rPr>
          <w:rFonts w:hint="eastAsia" w:ascii="仿宋_GB2312" w:eastAsia="仿宋_GB2312" w:cs="黑体"/>
          <w:b/>
          <w:color w:val="000000"/>
          <w:kern w:val="0"/>
          <w:sz w:val="30"/>
          <w:szCs w:val="30"/>
        </w:rPr>
        <w:t>：近两年获国家、省（市）部级或行业奖励信息表</w:t>
      </w:r>
      <w:bookmarkEnd w:id="20"/>
    </w:p>
    <w:tbl>
      <w:tblPr>
        <w:tblStyle w:val="7"/>
        <w:tblW w:w="9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41"/>
        <w:gridCol w:w="1417"/>
        <w:gridCol w:w="1418"/>
        <w:gridCol w:w="1276"/>
        <w:gridCol w:w="170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6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序号</w:t>
            </w:r>
          </w:p>
        </w:tc>
        <w:tc>
          <w:tcPr>
            <w:tcW w:w="1941"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项目名称</w:t>
            </w:r>
          </w:p>
        </w:tc>
        <w:tc>
          <w:tcPr>
            <w:tcW w:w="1417"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奖励类型</w:t>
            </w:r>
          </w:p>
        </w:tc>
        <w:tc>
          <w:tcPr>
            <w:tcW w:w="1418"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奖励等级</w:t>
            </w:r>
          </w:p>
        </w:tc>
        <w:tc>
          <w:tcPr>
            <w:tcW w:w="1276"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颁奖单位</w:t>
            </w:r>
          </w:p>
        </w:tc>
        <w:tc>
          <w:tcPr>
            <w:tcW w:w="1708"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证书号</w:t>
            </w:r>
          </w:p>
        </w:tc>
        <w:tc>
          <w:tcPr>
            <w:tcW w:w="1318"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b/>
                <w:sz w:val="24"/>
                <w:szCs w:val="24"/>
              </w:rPr>
            </w:pPr>
            <w:r>
              <w:rPr>
                <w:rFonts w:hint="eastAsia" w:ascii="仿宋_GB2312" w:eastAsia="仿宋_GB2312" w:cs="宋体"/>
                <w:b/>
                <w:sz w:val="24"/>
                <w:szCs w:val="24"/>
              </w:rPr>
              <w:t>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6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1</w:t>
            </w:r>
          </w:p>
        </w:tc>
        <w:tc>
          <w:tcPr>
            <w:tcW w:w="1941"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41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41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pageBreakBefore w:val="0"/>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p>
        </w:tc>
        <w:tc>
          <w:tcPr>
            <w:tcW w:w="1708" w:type="dxa"/>
            <w:vAlign w:val="center"/>
          </w:tcPr>
          <w:p>
            <w:pPr>
              <w:pageBreakBefore w:val="0"/>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p>
        </w:tc>
        <w:tc>
          <w:tcPr>
            <w:tcW w:w="131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6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2</w:t>
            </w:r>
          </w:p>
        </w:tc>
        <w:tc>
          <w:tcPr>
            <w:tcW w:w="1941"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41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41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pageBreakBefore w:val="0"/>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p>
        </w:tc>
        <w:tc>
          <w:tcPr>
            <w:tcW w:w="1708" w:type="dxa"/>
            <w:vAlign w:val="center"/>
          </w:tcPr>
          <w:p>
            <w:pPr>
              <w:pageBreakBefore w:val="0"/>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p>
        </w:tc>
        <w:tc>
          <w:tcPr>
            <w:tcW w:w="131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6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sz w:val="24"/>
                <w:szCs w:val="24"/>
              </w:rPr>
            </w:pPr>
            <w:r>
              <w:rPr>
                <w:rFonts w:hint="eastAsia" w:ascii="仿宋_GB2312" w:eastAsia="仿宋_GB2312"/>
                <w:sz w:val="24"/>
                <w:szCs w:val="24"/>
              </w:rPr>
              <w:t>…</w:t>
            </w:r>
          </w:p>
        </w:tc>
        <w:tc>
          <w:tcPr>
            <w:tcW w:w="1941"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41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41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pageBreakBefore w:val="0"/>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p>
        </w:tc>
        <w:tc>
          <w:tcPr>
            <w:tcW w:w="1708" w:type="dxa"/>
            <w:vAlign w:val="center"/>
          </w:tcPr>
          <w:p>
            <w:pPr>
              <w:pageBreakBefore w:val="0"/>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p>
        </w:tc>
        <w:tc>
          <w:tcPr>
            <w:tcW w:w="131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60" w:type="dxa"/>
            <w:vAlign w:val="center"/>
          </w:tcPr>
          <w:p>
            <w:pPr>
              <w:pageBreakBefore w:val="0"/>
              <w:widowControl/>
              <w:kinsoku/>
              <w:wordWrap/>
              <w:overflowPunct/>
              <w:topLinePunct w:val="0"/>
              <w:autoSpaceDE/>
              <w:autoSpaceDN/>
              <w:bidi w:val="0"/>
              <w:adjustRightInd/>
              <w:snapToGrid/>
              <w:spacing w:line="240" w:lineRule="auto"/>
              <w:ind w:left="0" w:leftChars="0"/>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1941"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17"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1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76"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p>
        </w:tc>
        <w:tc>
          <w:tcPr>
            <w:tcW w:w="170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p>
        </w:tc>
        <w:tc>
          <w:tcPr>
            <w:tcW w:w="1318" w:type="dxa"/>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jc w:val="center"/>
        </w:trPr>
        <w:tc>
          <w:tcPr>
            <w:tcW w:w="9938" w:type="dxa"/>
            <w:gridSpan w:val="7"/>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本表所填信息应与获奖证书相关内容一致。</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获奖项目填报的时间范围为报告年度、报告年度前一年度。</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“奖励类型”分为国务院或省级人民政府设立的“自然科学奖”、“技术发明奖”、“科技进步奖”、“国际科技合作奖”；以及行业内认可度较高的奖励，如建工行业的詹天佑奖、鲁班奖等。</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“颁奖单位”包括：国家科技部、国家发改委、工信部等国家相关部委。</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“奖励等级”包括：分为特等奖、一等奖、二等奖等。</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6.</w:t>
            </w:r>
            <w:r>
              <w:rPr>
                <w:rFonts w:hint="eastAsia" w:ascii="仿宋_GB2312" w:eastAsia="仿宋_GB2312" w:cs="宋体"/>
                <w:color w:val="000000"/>
                <w:kern w:val="0"/>
                <w:sz w:val="24"/>
                <w:szCs w:val="24"/>
              </w:rPr>
              <w:t>获奖者需为技术中心所在企业、下属企业或企业在职职工，参股企业不得列入，下属企业为市级企业技术中心的不列入统计。</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7.</w:t>
            </w:r>
            <w:r>
              <w:rPr>
                <w:rFonts w:hint="eastAsia" w:ascii="仿宋_GB2312" w:eastAsia="仿宋_GB2312" w:cs="宋体"/>
                <w:color w:val="000000"/>
                <w:kern w:val="0"/>
                <w:sz w:val="24"/>
                <w:szCs w:val="24"/>
              </w:rPr>
              <w:t>获奖者为个人的，需提供个人相关信息及必要证明材料。</w:t>
            </w:r>
          </w:p>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color w:val="000000"/>
                <w:kern w:val="0"/>
                <w:sz w:val="24"/>
                <w:szCs w:val="24"/>
              </w:rPr>
            </w:pPr>
            <w:r>
              <w:rPr>
                <w:rFonts w:hint="eastAsia" w:ascii="仿宋_GB2312" w:eastAsia="仿宋_GB2312"/>
                <w:color w:val="000000"/>
                <w:kern w:val="0"/>
                <w:sz w:val="24"/>
                <w:szCs w:val="24"/>
              </w:rPr>
              <w:t>8.</w:t>
            </w:r>
            <w:r>
              <w:rPr>
                <w:rFonts w:hint="eastAsia" w:ascii="仿宋_GB2312" w:eastAsia="仿宋_GB2312" w:cs="宋体"/>
                <w:color w:val="000000"/>
                <w:kern w:val="0"/>
                <w:sz w:val="24"/>
                <w:szCs w:val="24"/>
              </w:rPr>
              <w:t>提供获奖证书复印件。</w:t>
            </w:r>
          </w:p>
        </w:tc>
      </w:tr>
    </w:tbl>
    <w:p>
      <w:pPr>
        <w:pageBreakBefore w:val="0"/>
        <w:kinsoku/>
        <w:wordWrap/>
        <w:overflowPunct/>
        <w:topLinePunct w:val="0"/>
        <w:autoSpaceDE/>
        <w:autoSpaceDN/>
        <w:bidi w:val="0"/>
        <w:adjustRightInd/>
        <w:snapToGrid/>
        <w:spacing w:line="240" w:lineRule="auto"/>
        <w:ind w:left="0" w:leftChars="0"/>
        <w:jc w:val="center"/>
        <w:rPr>
          <w:rFonts w:hint="eastAsia" w:ascii="仿宋_GB2312" w:eastAsia="仿宋_GB2312" w:cs="黑体"/>
          <w:b/>
          <w:color w:val="000000"/>
          <w:kern w:val="0"/>
          <w:sz w:val="30"/>
          <w:szCs w:val="30"/>
        </w:rPr>
      </w:pPr>
    </w:p>
    <w:p>
      <w:pPr>
        <w:pageBreakBefore w:val="0"/>
        <w:kinsoku/>
        <w:wordWrap/>
        <w:overflowPunct/>
        <w:topLinePunct w:val="0"/>
        <w:autoSpaceDE/>
        <w:autoSpaceDN/>
        <w:bidi w:val="0"/>
        <w:adjustRightInd/>
        <w:snapToGrid/>
        <w:spacing w:line="240" w:lineRule="auto"/>
        <w:ind w:left="0" w:leftChars="0"/>
        <w:jc w:val="center"/>
      </w:pPr>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1</w:t>
      </w:r>
      <w:r>
        <w:rPr>
          <w:rFonts w:hint="eastAsia" w:ascii="仿宋_GB2312" w:eastAsia="仿宋_GB2312" w:cs="黑体"/>
          <w:b/>
          <w:color w:val="000000"/>
          <w:kern w:val="0"/>
          <w:sz w:val="30"/>
          <w:szCs w:val="30"/>
          <w:lang w:val="en-US" w:eastAsia="zh-CN"/>
        </w:rPr>
        <w:t>5</w:t>
      </w:r>
      <w:r>
        <w:rPr>
          <w:rFonts w:hint="eastAsia" w:ascii="仿宋_GB2312" w:eastAsia="仿宋_GB2312" w:cs="黑体"/>
          <w:b/>
          <w:color w:val="000000"/>
          <w:kern w:val="0"/>
          <w:sz w:val="30"/>
          <w:szCs w:val="30"/>
        </w:rPr>
        <w:t>：</w:t>
      </w:r>
      <w:r>
        <w:rPr>
          <w:rFonts w:hint="eastAsia" w:ascii="仿宋_GB2312" w:eastAsia="仿宋_GB2312" w:cs="黑体"/>
          <w:b/>
          <w:color w:val="000000"/>
          <w:kern w:val="0"/>
          <w:sz w:val="30"/>
          <w:szCs w:val="30"/>
          <w:lang w:eastAsia="zh-CN"/>
        </w:rPr>
        <w:t>企业技术中心绩效目标自评表</w:t>
      </w:r>
    </w:p>
    <w:tbl>
      <w:tblPr>
        <w:tblStyle w:val="7"/>
        <w:tblpPr w:leftFromText="180" w:rightFromText="180" w:vertAnchor="text" w:horzAnchor="page" w:tblpX="1072" w:tblpY="616"/>
        <w:tblOverlap w:val="never"/>
        <w:tblW w:w="9780" w:type="dxa"/>
        <w:tblInd w:w="0" w:type="dxa"/>
        <w:shd w:val="clear" w:color="auto" w:fill="auto"/>
        <w:tblLayout w:type="fixed"/>
        <w:tblCellMar>
          <w:top w:w="0" w:type="dxa"/>
          <w:left w:w="0" w:type="dxa"/>
          <w:bottom w:w="0" w:type="dxa"/>
          <w:right w:w="0" w:type="dxa"/>
        </w:tblCellMar>
      </w:tblPr>
      <w:tblGrid>
        <w:gridCol w:w="1105"/>
        <w:gridCol w:w="1595"/>
        <w:gridCol w:w="1830"/>
        <w:gridCol w:w="1635"/>
        <w:gridCol w:w="2025"/>
        <w:gridCol w:w="1590"/>
      </w:tblGrid>
      <w:tr>
        <w:tblPrEx>
          <w:shd w:val="clear" w:color="auto" w:fill="auto"/>
          <w:tblLayout w:type="fixed"/>
          <w:tblCellMar>
            <w:top w:w="0" w:type="dxa"/>
            <w:left w:w="0" w:type="dxa"/>
            <w:bottom w:w="0" w:type="dxa"/>
            <w:right w:w="0" w:type="dxa"/>
          </w:tblCellMar>
        </w:tblPrEx>
        <w:trPr>
          <w:trHeight w:val="668" w:hRule="atLeast"/>
        </w:trPr>
        <w:tc>
          <w:tcPr>
            <w:tcW w:w="978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36"/>
                <w:szCs w:val="36"/>
                <w:u w:val="none"/>
                <w:lang w:val="en-US" w:eastAsia="zh-CN" w:bidi="ar"/>
              </w:rPr>
              <w:t>企业技术中心绩效目标企业自评表</w:t>
            </w:r>
          </w:p>
        </w:tc>
      </w:tr>
      <w:tr>
        <w:tblPrEx>
          <w:tblLayout w:type="fixed"/>
          <w:tblCellMar>
            <w:top w:w="0" w:type="dxa"/>
            <w:left w:w="0" w:type="dxa"/>
            <w:bottom w:w="0" w:type="dxa"/>
            <w:right w:w="0" w:type="dxa"/>
          </w:tblCellMar>
        </w:tblPrEx>
        <w:trPr>
          <w:trHeight w:val="505"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绩效种类</w:t>
            </w:r>
          </w:p>
        </w:tc>
        <w:tc>
          <w:tcPr>
            <w:tcW w:w="1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绩效内容</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指标内容</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指标目标值</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绩效内容解释</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目标完成情况</w:t>
            </w:r>
          </w:p>
        </w:tc>
      </w:tr>
      <w:tr>
        <w:tblPrEx>
          <w:tblLayout w:type="fixed"/>
          <w:tblCellMar>
            <w:top w:w="0" w:type="dxa"/>
            <w:left w:w="0" w:type="dxa"/>
            <w:bottom w:w="0" w:type="dxa"/>
            <w:right w:w="0" w:type="dxa"/>
          </w:tblCellMar>
        </w:tblPrEx>
        <w:trPr>
          <w:trHeight w:val="450" w:hRule="atLeast"/>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产出目标</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数量目标</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增长</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增长</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主营业务收增长</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90"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利润增长</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30"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税收增长</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76"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质量目标</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增长</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增长</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知识产权和发明专利增长</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2"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新产品发布</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70"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研发成果转化</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35" w:hRule="atLeast"/>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效果目标</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社会效益类</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企业就业人数增加</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增长</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企业就业人数情况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45"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企业知名度</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1"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市场效果类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细分市场占有率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企业在所属的行业细分市场占比情况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054"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社会影响</w:t>
            </w:r>
          </w:p>
        </w:tc>
        <w:tc>
          <w:tcPr>
            <w:tcW w:w="1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产业链发展情况</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带动上下游产业链发展情况</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企业是否产生带动上下游产业链发展的积极效果</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2"/>
                <w:szCs w:val="22"/>
                <w:u w:val="none"/>
              </w:rPr>
            </w:pPr>
          </w:p>
        </w:tc>
      </w:tr>
    </w:tbl>
    <w:p>
      <w:pPr>
        <w:pageBreakBefore w:val="0"/>
        <w:kinsoku/>
        <w:wordWrap/>
        <w:overflowPunct/>
        <w:topLinePunct w:val="0"/>
        <w:autoSpaceDE/>
        <w:autoSpaceDN/>
        <w:bidi w:val="0"/>
        <w:adjustRightInd/>
        <w:snapToGrid/>
        <w:spacing w:line="240" w:lineRule="auto"/>
        <w:ind w:left="0" w:leftChars="0"/>
      </w:pPr>
    </w:p>
    <w:p>
      <w:pPr>
        <w:pageBreakBefore w:val="0"/>
        <w:widowControl/>
        <w:kinsoku/>
        <w:wordWrap/>
        <w:overflowPunct/>
        <w:topLinePunct w:val="0"/>
        <w:autoSpaceDE/>
        <w:autoSpaceDN/>
        <w:bidi w:val="0"/>
        <w:adjustRightInd/>
        <w:snapToGrid/>
        <w:spacing w:line="240" w:lineRule="auto"/>
        <w:ind w:left="0" w:leftChars="0"/>
        <w:jc w:val="left"/>
        <w:rPr>
          <w:rFonts w:ascii="黑体" w:eastAsia="黑体"/>
          <w:bCs/>
          <w:szCs w:val="32"/>
        </w:rPr>
      </w:pPr>
      <w:bookmarkStart w:id="21" w:name="_Toc466639375"/>
      <w:r>
        <w:rPr>
          <w:rFonts w:hint="eastAsia" w:ascii="黑体" w:eastAsia="黑体" w:cs="黑体"/>
          <w:bCs/>
          <w:szCs w:val="32"/>
        </w:rPr>
        <w:t>附件</w:t>
      </w:r>
      <w:r>
        <w:rPr>
          <w:rFonts w:hint="eastAsia" w:ascii="黑体" w:eastAsia="黑体"/>
          <w:bCs/>
          <w:szCs w:val="32"/>
        </w:rPr>
        <w:t>3</w:t>
      </w:r>
    </w:p>
    <w:p>
      <w:pPr>
        <w:pageBreakBefore w:val="0"/>
        <w:widowControl/>
        <w:kinsoku/>
        <w:wordWrap/>
        <w:overflowPunct/>
        <w:topLinePunct w:val="0"/>
        <w:autoSpaceDE/>
        <w:autoSpaceDN/>
        <w:bidi w:val="0"/>
        <w:adjustRightInd/>
        <w:snapToGrid/>
        <w:spacing w:line="240" w:lineRule="auto"/>
        <w:ind w:left="0" w:leftChars="0"/>
        <w:jc w:val="center"/>
        <w:rPr>
          <w:rFonts w:ascii="黑体" w:hAnsi="黑体" w:eastAsia="黑体"/>
          <w:b/>
          <w:bCs w:val="0"/>
          <w:sz w:val="36"/>
          <w:szCs w:val="36"/>
        </w:rPr>
      </w:pPr>
      <w:r>
        <w:rPr>
          <w:rFonts w:hint="eastAsia" w:ascii="黑体" w:hAnsi="黑体" w:eastAsia="黑体" w:cs="黑体"/>
          <w:b/>
          <w:bCs w:val="0"/>
          <w:sz w:val="36"/>
          <w:szCs w:val="36"/>
        </w:rPr>
        <w:t>《杨浦区区级企业技术中心工作总结》提纲</w:t>
      </w:r>
      <w:bookmarkEnd w:id="21"/>
    </w:p>
    <w:p>
      <w:pPr>
        <w:pStyle w:val="2"/>
        <w:pageBreakBefore w:val="0"/>
        <w:kinsoku/>
        <w:wordWrap/>
        <w:overflowPunct/>
        <w:topLinePunct w:val="0"/>
        <w:autoSpaceDE/>
        <w:autoSpaceDN/>
        <w:bidi w:val="0"/>
        <w:adjustRightInd/>
        <w:snapToGrid/>
        <w:spacing w:line="240" w:lineRule="auto"/>
        <w:ind w:left="0" w:leftChars="0"/>
        <w:jc w:val="center"/>
        <w:rPr>
          <w:rFonts w:ascii="黑体" w:hAnsi="黑体" w:cs="Times New Roman"/>
          <w:b/>
          <w:bCs/>
          <w:sz w:val="36"/>
          <w:szCs w:val="36"/>
        </w:rPr>
      </w:pPr>
    </w:p>
    <w:p>
      <w:pPr>
        <w:pStyle w:val="2"/>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已认定的区级企业技术中心需在评价年度提交工作总结，以全面总结报告年度和报告年度前一年度企业技术创新与技术中心工作情况。主要包括如下内容：</w:t>
      </w:r>
    </w:p>
    <w:p>
      <w:pPr>
        <w:pStyle w:val="2"/>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1.简要分析企业所在行业创新趋势和特点，以及企业在该行业中的地位和竞争优势。</w:t>
      </w:r>
    </w:p>
    <w:p>
      <w:pPr>
        <w:pStyle w:val="2"/>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企业技术创新体系建设情况，包括企业技术创新体系基本情况、技术中心组织建设、技术中心创新机制建设、产学研合作创新机制建设、国际化创新合作网络建设、企业技术创新基础设施建设、知识产权管理运用等。</w:t>
      </w:r>
    </w:p>
    <w:p>
      <w:pPr>
        <w:pStyle w:val="2"/>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3.企业技术创新活动开展情况，包括重点创新项目的组织实施、关键核心技术和产品开发等。</w:t>
      </w:r>
    </w:p>
    <w:p>
      <w:pPr>
        <w:pStyle w:val="2"/>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4.企业技术中心取得的主要创新成果，形成的核心技术及自主知识产权情况，重点介绍相关技术成果对企业核心产品研发、核心竞争力提升的支撑作用，以及取得的经济社会效益。</w:t>
      </w:r>
    </w:p>
    <w:p>
      <w:pPr>
        <w:pStyle w:val="2"/>
        <w:pageBreakBefore w:val="0"/>
        <w:kinsoku/>
        <w:wordWrap/>
        <w:overflowPunct/>
        <w:topLinePunct w:val="0"/>
        <w:autoSpaceDE/>
        <w:autoSpaceDN/>
        <w:bidi w:val="0"/>
        <w:adjustRightInd/>
        <w:snapToGrid/>
        <w:spacing w:line="240" w:lineRule="auto"/>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5.其他有特色的工作情况。</w:t>
      </w:r>
    </w:p>
    <w:p>
      <w:pPr>
        <w:pStyle w:val="2"/>
        <w:pageBreakBefore w:val="0"/>
        <w:kinsoku/>
        <w:wordWrap/>
        <w:overflowPunct/>
        <w:topLinePunct w:val="0"/>
        <w:autoSpaceDE/>
        <w:autoSpaceDN/>
        <w:bidi w:val="0"/>
        <w:adjustRightInd/>
        <w:snapToGrid/>
        <w:spacing w:line="240" w:lineRule="auto"/>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6.下一步工作展望。</w:t>
      </w:r>
    </w:p>
    <w:p>
      <w:pPr>
        <w:pageBreakBefore w:val="0"/>
        <w:kinsoku/>
        <w:wordWrap/>
        <w:overflowPunct/>
        <w:topLinePunct w:val="0"/>
        <w:autoSpaceDE/>
        <w:autoSpaceDN/>
        <w:bidi w:val="0"/>
        <w:adjustRightInd/>
        <w:snapToGrid/>
        <w:spacing w:line="240" w:lineRule="auto"/>
        <w:ind w:left="0" w:leftChars="0"/>
        <w:rPr>
          <w:rFonts w:ascii="宋体" w:hAnsi="宋体" w:eastAsia="宋体"/>
          <w:sz w:val="28"/>
          <w:szCs w:val="28"/>
        </w:rPr>
      </w:pPr>
    </w:p>
    <w:p>
      <w:pPr>
        <w:pageBreakBefore w:val="0"/>
        <w:kinsoku/>
        <w:wordWrap/>
        <w:overflowPunct/>
        <w:topLinePunct w:val="0"/>
        <w:autoSpaceDE/>
        <w:autoSpaceDN/>
        <w:bidi w:val="0"/>
        <w:adjustRightInd/>
        <w:snapToGrid/>
        <w:spacing w:line="240" w:lineRule="auto"/>
        <w:ind w:left="0" w:leftChars="0"/>
        <w:rPr>
          <w:rFonts w:ascii="宋体" w:hAnsi="宋体" w:eastAsia="宋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871" w:right="1701" w:bottom="1871" w:left="1531" w:header="851" w:footer="992" w:gutter="0"/>
          <w:pgNumType w:fmt="numberInDash" w:start="1"/>
          <w:cols w:space="720" w:num="1"/>
          <w:docGrid w:type="lines" w:linePitch="312" w:charSpace="0"/>
        </w:sectPr>
      </w:pPr>
    </w:p>
    <w:p>
      <w:pPr>
        <w:pageBreakBefore w:val="0"/>
        <w:kinsoku/>
        <w:wordWrap/>
        <w:overflowPunct/>
        <w:topLinePunct w:val="0"/>
        <w:autoSpaceDE/>
        <w:autoSpaceDN/>
        <w:bidi w:val="0"/>
        <w:adjustRightInd/>
        <w:snapToGrid/>
        <w:spacing w:line="240" w:lineRule="auto"/>
        <w:ind w:left="0" w:leftChars="0"/>
        <w:outlineLvl w:val="1"/>
        <w:rPr>
          <w:rFonts w:ascii="黑体" w:eastAsia="黑体"/>
          <w:bCs/>
          <w:szCs w:val="32"/>
        </w:rPr>
      </w:pPr>
      <w:bookmarkStart w:id="22" w:name="_Toc466639378"/>
      <w:r>
        <w:rPr>
          <w:rFonts w:hint="eastAsia" w:ascii="黑体" w:eastAsia="黑体" w:cs="黑体"/>
          <w:bCs/>
          <w:szCs w:val="32"/>
        </w:rPr>
        <w:t>附件</w:t>
      </w:r>
      <w:r>
        <w:rPr>
          <w:rFonts w:hint="eastAsia" w:ascii="黑体" w:eastAsia="黑体"/>
          <w:bCs/>
          <w:szCs w:val="32"/>
        </w:rPr>
        <w:t>4</w:t>
      </w:r>
    </w:p>
    <w:p>
      <w:pPr>
        <w:pageBreakBefore w:val="0"/>
        <w:kinsoku/>
        <w:wordWrap/>
        <w:overflowPunct/>
        <w:topLinePunct w:val="0"/>
        <w:autoSpaceDE/>
        <w:autoSpaceDN/>
        <w:bidi w:val="0"/>
        <w:adjustRightInd/>
        <w:snapToGrid/>
        <w:spacing w:line="240" w:lineRule="auto"/>
        <w:ind w:left="0" w:leftChars="0" w:firstLine="720" w:firstLineChars="200"/>
        <w:jc w:val="center"/>
        <w:outlineLvl w:val="2"/>
        <w:rPr>
          <w:rFonts w:hint="eastAsia" w:ascii="黑体" w:hAnsi="黑体" w:eastAsia="黑体" w:cs="黑体"/>
          <w:b/>
          <w:bCs/>
          <w:sz w:val="36"/>
          <w:szCs w:val="36"/>
        </w:rPr>
      </w:pPr>
      <w:r>
        <w:rPr>
          <w:rFonts w:hint="eastAsia" w:ascii="黑体" w:hAnsi="黑体" w:eastAsia="黑体" w:cs="黑体"/>
          <w:b/>
          <w:bCs/>
          <w:sz w:val="36"/>
          <w:szCs w:val="36"/>
        </w:rPr>
        <w:t>杨浦区区级企业技术中心评价指标体系</w:t>
      </w:r>
    </w:p>
    <w:p>
      <w:pPr>
        <w:pageBreakBefore w:val="0"/>
        <w:kinsoku/>
        <w:wordWrap/>
        <w:overflowPunct/>
        <w:topLinePunct w:val="0"/>
        <w:autoSpaceDE/>
        <w:autoSpaceDN/>
        <w:bidi w:val="0"/>
        <w:adjustRightInd/>
        <w:snapToGrid/>
        <w:spacing w:line="240" w:lineRule="auto"/>
        <w:ind w:left="0" w:leftChars="0" w:firstLine="720" w:firstLineChars="200"/>
        <w:outlineLvl w:val="2"/>
        <w:rPr>
          <w:rFonts w:hint="eastAsia" w:ascii="黑体" w:hAnsi="黑体" w:eastAsia="黑体" w:cs="黑体"/>
          <w:b/>
          <w:bCs/>
          <w:sz w:val="36"/>
          <w:szCs w:val="36"/>
        </w:rPr>
      </w:pPr>
    </w:p>
    <w:p>
      <w:pPr>
        <w:pageBreakBefore w:val="0"/>
        <w:kinsoku/>
        <w:wordWrap/>
        <w:overflowPunct/>
        <w:topLinePunct w:val="0"/>
        <w:autoSpaceDE/>
        <w:autoSpaceDN/>
        <w:bidi w:val="0"/>
        <w:adjustRightInd/>
        <w:snapToGrid/>
        <w:spacing w:line="240" w:lineRule="auto"/>
        <w:ind w:left="0" w:leftChars="0" w:firstLine="560" w:firstLineChars="200"/>
        <w:outlineLvl w:val="2"/>
        <w:rPr>
          <w:rFonts w:hint="eastAsia" w:ascii="宋体" w:hAnsi="宋体" w:eastAsia="宋体" w:cs="宋体"/>
          <w:b/>
          <w:bCs/>
          <w:sz w:val="28"/>
          <w:szCs w:val="28"/>
        </w:rPr>
      </w:pPr>
      <w:bookmarkStart w:id="23" w:name="_Toc466639379"/>
      <w:r>
        <w:rPr>
          <w:rFonts w:hint="eastAsia" w:ascii="宋体" w:hAnsi="宋体" w:eastAsia="宋体" w:cs="宋体"/>
          <w:b/>
          <w:bCs/>
          <w:sz w:val="28"/>
          <w:szCs w:val="28"/>
          <w:lang w:eastAsia="zh-CN"/>
        </w:rPr>
        <w:t>一</w:t>
      </w:r>
      <w:r>
        <w:rPr>
          <w:rFonts w:hint="eastAsia" w:ascii="宋体" w:hAnsi="宋体" w:eastAsia="宋体" w:cs="宋体"/>
          <w:b/>
          <w:bCs/>
          <w:sz w:val="28"/>
          <w:szCs w:val="28"/>
        </w:rPr>
        <w:t>、限定性指标的最低标准</w:t>
      </w:r>
      <w:bookmarkEnd w:id="23"/>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1、企业上一年度销售（营业）收入不低于1亿元（生产性服务业企业不低于5千万元）；</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2、企业上一年度科技活动经费支出额不低于300万元，且占上一年度销售（营业）收入的比例不低于3%（农业、服务业及石油、煤炭、交通、建筑、烟草、电力、电信等行业企业不低于1%）；</w:t>
      </w:r>
    </w:p>
    <w:p>
      <w:pPr>
        <w:pageBreakBefore w:val="0"/>
        <w:kinsoku/>
        <w:wordWrap/>
        <w:overflowPunct/>
        <w:topLinePunct w:val="0"/>
        <w:autoSpaceDE/>
        <w:autoSpaceDN/>
        <w:bidi w:val="0"/>
        <w:adjustRightInd/>
        <w:snapToGrid/>
        <w:spacing w:line="240" w:lineRule="auto"/>
        <w:ind w:left="0" w:leftChars="0" w:firstLine="560" w:firstLineChars="200"/>
        <w:outlineLvl w:val="2"/>
        <w:rPr>
          <w:rFonts w:hint="eastAsia" w:ascii="宋体" w:hAnsi="宋体" w:eastAsia="宋体" w:cs="宋体"/>
          <w:sz w:val="28"/>
          <w:szCs w:val="28"/>
          <w:lang w:eastAsia="zh-CN"/>
        </w:rPr>
      </w:pPr>
      <w:r>
        <w:rPr>
          <w:rFonts w:hint="eastAsia" w:ascii="宋体" w:hAnsi="宋体" w:eastAsia="宋体" w:cs="宋体"/>
          <w:sz w:val="28"/>
          <w:szCs w:val="28"/>
        </w:rPr>
        <w:t>3、企业上一年度拥有技术开发仪器设备原值不低于300</w:t>
      </w:r>
      <w:r>
        <w:rPr>
          <w:rFonts w:hint="eastAsia" w:ascii="宋体" w:hAnsi="宋体" w:eastAsia="宋体" w:cs="宋体"/>
          <w:sz w:val="28"/>
          <w:szCs w:val="28"/>
          <w:lang w:eastAsia="zh-CN"/>
        </w:rPr>
        <w:t>万元；</w:t>
      </w:r>
    </w:p>
    <w:p>
      <w:pPr>
        <w:pageBreakBefore w:val="0"/>
        <w:kinsoku/>
        <w:wordWrap/>
        <w:overflowPunct/>
        <w:topLinePunct w:val="0"/>
        <w:autoSpaceDE/>
        <w:autoSpaceDN/>
        <w:bidi w:val="0"/>
        <w:adjustRightInd/>
        <w:snapToGrid/>
        <w:spacing w:line="240" w:lineRule="auto"/>
        <w:ind w:left="0" w:leftChars="0" w:firstLine="560" w:firstLineChars="200"/>
        <w:outlineLvl w:val="2"/>
        <w:rPr>
          <w:rFonts w:hint="eastAsia" w:ascii="宋体" w:hAnsi="宋体" w:eastAsia="宋体" w:cs="宋体"/>
          <w:sz w:val="28"/>
          <w:szCs w:val="28"/>
          <w:lang w:eastAsia="zh-CN"/>
        </w:rPr>
      </w:pPr>
      <w:r>
        <w:rPr>
          <w:rFonts w:hint="eastAsia" w:ascii="宋体" w:hAnsi="宋体" w:eastAsia="宋体" w:cs="宋体"/>
          <w:sz w:val="28"/>
          <w:szCs w:val="28"/>
          <w:lang w:eastAsia="zh-CN"/>
        </w:rPr>
        <w:t>4、企业上一年度专职研究与试验发展人员不低于20人；</w:t>
      </w:r>
    </w:p>
    <w:bookmarkEnd w:id="22"/>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规模系数</w:t>
      </w:r>
    </w:p>
    <w:p>
      <w:pPr>
        <w:pageBreakBefore w:val="0"/>
        <w:kinsoku/>
        <w:wordWrap/>
        <w:overflowPunct/>
        <w:topLinePunct w:val="0"/>
        <w:autoSpaceDE/>
        <w:autoSpaceDN/>
        <w:bidi w:val="0"/>
        <w:adjustRightInd/>
        <w:snapToGrid/>
        <w:spacing w:line="240" w:lineRule="auto"/>
        <w:ind w:left="0" w:leftChars="0" w:firstLine="544" w:firstLineChars="200"/>
        <w:outlineLvl w:val="2"/>
        <w:rPr>
          <w:rFonts w:hint="eastAsia" w:ascii="宋体" w:hAnsi="宋体" w:eastAsia="宋体" w:cs="宋体"/>
          <w:sz w:val="28"/>
          <w:szCs w:val="28"/>
          <w:lang w:val="en-US" w:eastAsia="zh-CN"/>
        </w:rPr>
      </w:pPr>
      <w:r>
        <w:rPr>
          <w:rFonts w:hint="eastAsia" w:ascii="宋体" w:hAnsi="宋体" w:eastAsia="宋体" w:cs="宋体"/>
          <w:spacing w:val="-4"/>
          <w:sz w:val="28"/>
          <w:szCs w:val="28"/>
        </w:rPr>
        <w:t>考虑到不同规模企业在研发投入强度上存在显著差异，对“</w:t>
      </w:r>
      <w:r>
        <w:rPr>
          <w:rFonts w:hint="eastAsia" w:ascii="宋体" w:hAnsi="宋体" w:eastAsia="宋体" w:cs="宋体"/>
          <w:sz w:val="28"/>
          <w:szCs w:val="28"/>
        </w:rPr>
        <w:t>科技活动经费</w:t>
      </w:r>
      <w:r>
        <w:rPr>
          <w:rFonts w:hint="eastAsia" w:ascii="宋体" w:hAnsi="宋体" w:eastAsia="宋体" w:cs="宋体"/>
          <w:spacing w:val="-4"/>
          <w:sz w:val="28"/>
          <w:szCs w:val="28"/>
        </w:rPr>
        <w:t>支出占</w:t>
      </w:r>
      <w:r>
        <w:rPr>
          <w:rFonts w:hint="eastAsia" w:ascii="宋体" w:hAnsi="宋体" w:eastAsia="宋体" w:cs="宋体"/>
          <w:sz w:val="28"/>
          <w:szCs w:val="28"/>
        </w:rPr>
        <w:t>销售（营业）</w:t>
      </w:r>
      <w:r>
        <w:rPr>
          <w:rFonts w:hint="eastAsia" w:ascii="宋体" w:hAnsi="宋体" w:eastAsia="宋体" w:cs="宋体"/>
          <w:spacing w:val="-4"/>
          <w:sz w:val="28"/>
          <w:szCs w:val="28"/>
        </w:rPr>
        <w:t>收入的比重”这一指标的基本要求设定企业规模系数：</w:t>
      </w:r>
      <w:r>
        <w:rPr>
          <w:rFonts w:hint="eastAsia" w:ascii="宋体" w:hAnsi="宋体" w:eastAsia="宋体" w:cs="宋体"/>
          <w:sz w:val="28"/>
          <w:szCs w:val="28"/>
        </w:rPr>
        <w:t>销售（营业）</w:t>
      </w:r>
      <w:r>
        <w:rPr>
          <w:rFonts w:hint="eastAsia" w:ascii="宋体" w:hAnsi="宋体" w:eastAsia="宋体" w:cs="宋体"/>
          <w:spacing w:val="-4"/>
          <w:sz w:val="28"/>
          <w:szCs w:val="28"/>
        </w:rPr>
        <w:t>收入</w:t>
      </w:r>
      <w:r>
        <w:rPr>
          <w:rFonts w:hint="eastAsia" w:ascii="宋体" w:hAnsi="宋体" w:eastAsia="宋体" w:cs="宋体"/>
          <w:spacing w:val="-4"/>
          <w:sz w:val="28"/>
          <w:szCs w:val="28"/>
          <w:lang w:val="en-US" w:eastAsia="zh-CN"/>
        </w:rPr>
        <w:t>4</w:t>
      </w:r>
      <w:r>
        <w:rPr>
          <w:rFonts w:hint="eastAsia" w:ascii="宋体" w:hAnsi="宋体" w:eastAsia="宋体" w:cs="宋体"/>
          <w:spacing w:val="-4"/>
          <w:sz w:val="28"/>
          <w:szCs w:val="28"/>
        </w:rPr>
        <w:t>亿元及以上的企业规模系数为3；</w:t>
      </w:r>
      <w:r>
        <w:rPr>
          <w:rFonts w:hint="eastAsia" w:ascii="宋体" w:hAnsi="宋体" w:eastAsia="宋体" w:cs="宋体"/>
          <w:sz w:val="28"/>
          <w:szCs w:val="28"/>
        </w:rPr>
        <w:t>销售（营业）</w:t>
      </w:r>
      <w:r>
        <w:rPr>
          <w:rFonts w:hint="eastAsia" w:ascii="宋体" w:hAnsi="宋体" w:eastAsia="宋体" w:cs="宋体"/>
          <w:spacing w:val="-4"/>
          <w:sz w:val="28"/>
          <w:szCs w:val="28"/>
        </w:rPr>
        <w:t>收入</w:t>
      </w:r>
      <w:r>
        <w:rPr>
          <w:rFonts w:hint="eastAsia" w:ascii="宋体" w:hAnsi="宋体" w:eastAsia="宋体" w:cs="宋体"/>
          <w:spacing w:val="-4"/>
          <w:sz w:val="28"/>
          <w:szCs w:val="28"/>
          <w:lang w:val="en-US" w:eastAsia="zh-CN"/>
        </w:rPr>
        <w:t>3</w:t>
      </w:r>
      <w:r>
        <w:rPr>
          <w:rFonts w:hint="eastAsia" w:ascii="宋体" w:hAnsi="宋体" w:eastAsia="宋体" w:cs="宋体"/>
          <w:spacing w:val="-4"/>
          <w:sz w:val="28"/>
          <w:szCs w:val="28"/>
        </w:rPr>
        <w:t>亿元的企业规模系数为2；</w:t>
      </w:r>
      <w:r>
        <w:rPr>
          <w:rFonts w:hint="eastAsia" w:ascii="宋体" w:hAnsi="宋体" w:eastAsia="宋体" w:cs="宋体"/>
          <w:sz w:val="28"/>
          <w:szCs w:val="28"/>
        </w:rPr>
        <w:t>销售（营业）</w:t>
      </w:r>
      <w:r>
        <w:rPr>
          <w:rFonts w:hint="eastAsia" w:ascii="宋体" w:hAnsi="宋体" w:eastAsia="宋体" w:cs="宋体"/>
          <w:spacing w:val="-4"/>
          <w:sz w:val="28"/>
          <w:szCs w:val="28"/>
        </w:rPr>
        <w:t>收入</w:t>
      </w:r>
      <w:r>
        <w:rPr>
          <w:rFonts w:hint="eastAsia" w:ascii="宋体" w:hAnsi="宋体" w:eastAsia="宋体" w:cs="宋体"/>
          <w:spacing w:val="-4"/>
          <w:sz w:val="28"/>
          <w:szCs w:val="28"/>
          <w:lang w:val="en-US" w:eastAsia="zh-CN"/>
        </w:rPr>
        <w:t>2</w:t>
      </w:r>
      <w:r>
        <w:rPr>
          <w:rFonts w:hint="eastAsia" w:ascii="宋体" w:hAnsi="宋体" w:eastAsia="宋体" w:cs="宋体"/>
          <w:spacing w:val="-4"/>
          <w:sz w:val="28"/>
          <w:szCs w:val="28"/>
        </w:rPr>
        <w:t>亿元的企业规模系数为1.5；</w:t>
      </w:r>
      <w:r>
        <w:rPr>
          <w:rFonts w:hint="eastAsia" w:ascii="宋体" w:hAnsi="宋体" w:eastAsia="宋体" w:cs="宋体"/>
          <w:sz w:val="28"/>
          <w:szCs w:val="28"/>
        </w:rPr>
        <w:t>销售（营业）</w:t>
      </w:r>
      <w:r>
        <w:rPr>
          <w:rFonts w:hint="eastAsia" w:ascii="宋体" w:hAnsi="宋体" w:eastAsia="宋体" w:cs="宋体"/>
          <w:spacing w:val="-4"/>
          <w:sz w:val="28"/>
          <w:szCs w:val="28"/>
        </w:rPr>
        <w:t>收入1亿元以下的企业规模系数为1。</w:t>
      </w:r>
    </w:p>
    <w:p>
      <w:pPr>
        <w:pageBreakBefore w:val="0"/>
        <w:numPr>
          <w:ilvl w:val="0"/>
          <w:numId w:val="0"/>
        </w:numPr>
        <w:kinsoku/>
        <w:wordWrap/>
        <w:overflowPunct/>
        <w:topLinePunct w:val="0"/>
        <w:autoSpaceDE/>
        <w:autoSpaceDN/>
        <w:bidi w:val="0"/>
        <w:adjustRightInd/>
        <w:snapToGrid/>
        <w:spacing w:line="240" w:lineRule="auto"/>
        <w:ind w:left="0" w:leftChars="0" w:firstLine="560" w:firstLineChars="200"/>
        <w:outlineLvl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三、行业系数（附后）</w:t>
      </w:r>
    </w:p>
    <w:p>
      <w:pPr>
        <w:pageBreakBefore w:val="0"/>
        <w:kinsoku/>
        <w:wordWrap/>
        <w:overflowPunct/>
        <w:topLinePunct w:val="0"/>
        <w:autoSpaceDE/>
        <w:autoSpaceDN/>
        <w:bidi w:val="0"/>
        <w:adjustRightInd/>
        <w:snapToGrid/>
        <w:spacing w:line="240" w:lineRule="auto"/>
        <w:ind w:left="0" w:leftChars="0" w:firstLine="560" w:firstLineChars="200"/>
        <w:outlineLvl w:val="2"/>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四、分值计算</w:t>
      </w:r>
    </w:p>
    <w:p>
      <w:pPr>
        <w:pageBreakBefore w:val="0"/>
        <w:kinsoku/>
        <w:wordWrap/>
        <w:overflowPunct/>
        <w:topLinePunct w:val="0"/>
        <w:autoSpaceDE/>
        <w:autoSpaceDN/>
        <w:bidi w:val="0"/>
        <w:adjustRightInd/>
        <w:snapToGrid/>
        <w:spacing w:line="240" w:lineRule="auto"/>
        <w:ind w:left="0" w:leftChars="0" w:firstLine="560" w:firstLineChars="200"/>
        <w:outlineLvl w:val="2"/>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专家组评分占</w:t>
      </w:r>
      <w:r>
        <w:rPr>
          <w:rFonts w:hint="eastAsia" w:ascii="宋体" w:hAnsi="宋体" w:eastAsia="宋体" w:cs="宋体"/>
          <w:b w:val="0"/>
          <w:bCs w:val="0"/>
          <w:sz w:val="28"/>
          <w:szCs w:val="28"/>
          <w:lang w:val="en-US" w:eastAsia="zh-CN"/>
        </w:rPr>
        <w:t>80%权重，综合评分占20%权重</w:t>
      </w:r>
    </w:p>
    <w:p>
      <w:pPr>
        <w:pageBreakBefore w:val="0"/>
        <w:numPr>
          <w:ilvl w:val="0"/>
          <w:numId w:val="0"/>
        </w:numPr>
        <w:kinsoku/>
        <w:wordWrap/>
        <w:overflowPunct/>
        <w:topLinePunct w:val="0"/>
        <w:autoSpaceDE/>
        <w:autoSpaceDN/>
        <w:bidi w:val="0"/>
        <w:adjustRightInd/>
        <w:snapToGrid/>
        <w:spacing w:line="240" w:lineRule="auto"/>
        <w:ind w:left="0" w:leftChars="0"/>
        <w:outlineLvl w:val="2"/>
        <w:rPr>
          <w:rFonts w:hint="eastAsia" w:ascii="仿宋" w:hAnsi="仿宋" w:eastAsia="仿宋" w:cs="仿宋"/>
          <w:b/>
          <w:bCs/>
          <w:sz w:val="28"/>
          <w:szCs w:val="28"/>
          <w:lang w:val="en-US" w:eastAsia="zh-CN"/>
        </w:rPr>
      </w:pPr>
    </w:p>
    <w:p>
      <w:pPr>
        <w:pageBreakBefore w:val="0"/>
        <w:kinsoku/>
        <w:wordWrap/>
        <w:overflowPunct/>
        <w:topLinePunct w:val="0"/>
        <w:autoSpaceDE/>
        <w:autoSpaceDN/>
        <w:bidi w:val="0"/>
        <w:adjustRightInd/>
        <w:snapToGrid/>
        <w:spacing w:line="240" w:lineRule="auto"/>
        <w:ind w:left="0" w:leftChars="0"/>
        <w:outlineLvl w:val="1"/>
        <w:rPr>
          <w:rFonts w:hint="eastAsia" w:ascii="黑体" w:eastAsia="黑体"/>
          <w:bCs/>
          <w:szCs w:val="32"/>
          <w:lang w:val="en-US" w:eastAsia="zh-CN"/>
        </w:rPr>
      </w:pPr>
    </w:p>
    <w:p>
      <w:pPr>
        <w:pageBreakBefore w:val="0"/>
        <w:kinsoku/>
        <w:wordWrap/>
        <w:overflowPunct/>
        <w:topLinePunct w:val="0"/>
        <w:autoSpaceDE/>
        <w:autoSpaceDN/>
        <w:bidi w:val="0"/>
        <w:adjustRightInd/>
        <w:snapToGrid/>
        <w:spacing w:line="240" w:lineRule="auto"/>
        <w:ind w:left="0" w:leftChars="0"/>
        <w:jc w:val="center"/>
        <w:outlineLvl w:val="2"/>
        <w:rPr>
          <w:rFonts w:hint="eastAsia" w:ascii="黑体" w:hAnsi="黑体" w:eastAsia="黑体" w:cs="黑体"/>
          <w:b/>
          <w:bCs/>
          <w:kern w:val="0"/>
          <w:sz w:val="36"/>
          <w:szCs w:val="36"/>
        </w:rPr>
      </w:pPr>
      <w:r>
        <w:rPr>
          <w:rFonts w:hint="eastAsia" w:ascii="黑体" w:hAnsi="黑体" w:eastAsia="黑体" w:cs="黑体"/>
          <w:b/>
          <w:bCs/>
          <w:kern w:val="0"/>
          <w:sz w:val="36"/>
          <w:szCs w:val="36"/>
        </w:rPr>
        <w:t>杨浦区区级企业技术中心评价行业系数</w:t>
      </w:r>
    </w:p>
    <w:p>
      <w:pPr>
        <w:pageBreakBefore w:val="0"/>
        <w:kinsoku/>
        <w:wordWrap/>
        <w:overflowPunct/>
        <w:topLinePunct w:val="0"/>
        <w:autoSpaceDE/>
        <w:autoSpaceDN/>
        <w:bidi w:val="0"/>
        <w:adjustRightInd/>
        <w:snapToGrid/>
        <w:spacing w:line="240" w:lineRule="auto"/>
        <w:ind w:left="0" w:leftChars="0" w:firstLine="420" w:firstLineChars="200"/>
        <w:outlineLvl w:val="2"/>
        <w:rPr>
          <w:rFonts w:hint="eastAsia" w:ascii="宋体" w:hAnsi="宋体" w:eastAsia="宋体" w:cs="黑体"/>
          <w:kern w:val="0"/>
          <w:szCs w:val="32"/>
        </w:rPr>
      </w:pPr>
    </w:p>
    <w:tbl>
      <w:tblPr>
        <w:tblStyle w:val="7"/>
        <w:tblW w:w="9253" w:type="dxa"/>
        <w:jc w:val="center"/>
        <w:tblInd w:w="-1009" w:type="dxa"/>
        <w:tblLayout w:type="fixed"/>
        <w:tblCellMar>
          <w:top w:w="0" w:type="dxa"/>
          <w:left w:w="108" w:type="dxa"/>
          <w:bottom w:w="0" w:type="dxa"/>
          <w:right w:w="108" w:type="dxa"/>
        </w:tblCellMar>
      </w:tblPr>
      <w:tblGrid>
        <w:gridCol w:w="3562"/>
        <w:gridCol w:w="1893"/>
        <w:gridCol w:w="2009"/>
        <w:gridCol w:w="1789"/>
      </w:tblGrid>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b/>
                <w:sz w:val="21"/>
                <w:szCs w:val="21"/>
              </w:rPr>
            </w:pPr>
            <w:r>
              <w:rPr>
                <w:rFonts w:hint="eastAsia" w:ascii="仿宋_GB2312" w:eastAsia="仿宋_GB2312" w:cs="宋体"/>
                <w:b/>
                <w:sz w:val="21"/>
                <w:szCs w:val="21"/>
              </w:rPr>
              <w:t>行业名称</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b/>
                <w:spacing w:val="-12"/>
                <w:sz w:val="21"/>
                <w:szCs w:val="21"/>
              </w:rPr>
            </w:pPr>
            <w:r>
              <w:rPr>
                <w:rFonts w:hint="eastAsia" w:ascii="仿宋_GB2312" w:eastAsia="仿宋_GB2312" w:cs="宋体"/>
                <w:b/>
                <w:spacing w:val="-12"/>
                <w:sz w:val="21"/>
                <w:szCs w:val="21"/>
              </w:rPr>
              <w:t>研发经费支出占主营业务收入的比重</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b/>
                <w:spacing w:val="-12"/>
                <w:sz w:val="21"/>
                <w:szCs w:val="21"/>
              </w:rPr>
            </w:pPr>
            <w:r>
              <w:rPr>
                <w:rFonts w:hint="eastAsia" w:ascii="仿宋_GB2312" w:eastAsia="仿宋_GB2312" w:cs="宋体"/>
                <w:b/>
                <w:spacing w:val="-12"/>
                <w:sz w:val="21"/>
                <w:szCs w:val="21"/>
              </w:rPr>
              <w:t>新产品销售收入占主营业务收入的比重</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b/>
                <w:spacing w:val="-12"/>
                <w:sz w:val="21"/>
                <w:szCs w:val="21"/>
              </w:rPr>
            </w:pPr>
            <w:r>
              <w:rPr>
                <w:rFonts w:hint="eastAsia" w:ascii="仿宋_GB2312" w:eastAsia="仿宋_GB2312" w:cs="宋体"/>
                <w:b/>
                <w:spacing w:val="-12"/>
                <w:sz w:val="21"/>
                <w:szCs w:val="21"/>
              </w:rPr>
              <w:t>新产品销售利润占利润总额的比重</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农业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农副食品加工业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食品制造业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酒、饮料和精制茶制造业</w:t>
            </w:r>
          </w:p>
        </w:tc>
        <w:tc>
          <w:tcPr>
            <w:tcW w:w="1893"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c>
          <w:tcPr>
            <w:tcW w:w="2009"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shd w:val="clear" w:color="000000" w:fill="auto"/>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烟草制品业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3.0</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2.0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纺织业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纺织服装、服饰业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z w:val="21"/>
                <w:szCs w:val="21"/>
              </w:rPr>
            </w:pPr>
            <w:r>
              <w:rPr>
                <w:rFonts w:hint="eastAsia" w:ascii="仿宋_GB2312" w:eastAsia="仿宋_GB2312" w:cs="宋体"/>
                <w:sz w:val="21"/>
                <w:szCs w:val="21"/>
              </w:rPr>
              <w:t>皮革、毛皮、羽毛及其制品和制鞋业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240" w:lineRule="auto"/>
              <w:ind w:left="0" w:leftChars="0"/>
              <w:jc w:val="left"/>
              <w:rPr>
                <w:rFonts w:ascii="仿宋_GB2312" w:eastAsia="仿宋_GB2312"/>
                <w:spacing w:val="-6"/>
                <w:sz w:val="21"/>
                <w:szCs w:val="21"/>
              </w:rPr>
            </w:pPr>
            <w:r>
              <w:rPr>
                <w:rFonts w:hint="eastAsia" w:ascii="仿宋_GB2312" w:eastAsia="仿宋_GB2312" w:cs="宋体"/>
                <w:spacing w:val="-6"/>
                <w:sz w:val="21"/>
                <w:szCs w:val="21"/>
              </w:rPr>
              <w:t>木材加工和木、竹、藤、棕、草制品业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家具制造业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造纸和纸制品业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印刷和记录媒介复制业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文教、工美、体育和娱乐用品制造业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化学原料和化学制品制造业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医药制造业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化学纤维制造业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橡胶和塑料制品业</w:t>
            </w:r>
          </w:p>
        </w:tc>
        <w:tc>
          <w:tcPr>
            <w:tcW w:w="1893"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非金属矿物制品业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黑色金属冶炼和压延加工业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有色金属冶炼和压延加工业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1.2</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金属制品业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通用设备制造业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专用设备制造业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汽车制造业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铁路、船舶、航空航天和其他运输设备制造业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电气机械和器材制造业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计算机、通信和其他电子设备制造业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仪器仪表制造业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0.8</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电力、热力、燃气与水生产和供应业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2.5</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3.0</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3.0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房屋建筑业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2.0</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土木工程建筑业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2.0</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建筑安装业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2.0</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软件和信息技术服务业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0.6</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专业技术服务业</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rPr>
                <w:rFonts w:ascii="仿宋_GB2312" w:eastAsia="仿宋_GB2312"/>
                <w:sz w:val="21"/>
                <w:szCs w:val="21"/>
              </w:rPr>
            </w:pPr>
            <w:r>
              <w:rPr>
                <w:rFonts w:hint="eastAsia" w:ascii="仿宋_GB2312" w:eastAsia="仿宋_GB2312" w:cs="宋体"/>
                <w:sz w:val="21"/>
                <w:szCs w:val="21"/>
              </w:rPr>
              <w:t>其他</w:t>
            </w:r>
          </w:p>
        </w:tc>
        <w:tc>
          <w:tcPr>
            <w:tcW w:w="1893"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200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ind w:left="0" w:leftChars="0"/>
              <w:jc w:val="center"/>
              <w:rPr>
                <w:rFonts w:ascii="仿宋_GB2312" w:eastAsia="仿宋_GB2312"/>
                <w:sz w:val="21"/>
                <w:szCs w:val="21"/>
              </w:rPr>
            </w:pPr>
            <w:r>
              <w:rPr>
                <w:rFonts w:hint="eastAsia" w:ascii="仿宋_GB2312" w:eastAsia="仿宋_GB2312"/>
                <w:sz w:val="21"/>
                <w:szCs w:val="21"/>
              </w:rPr>
              <w:t>1.0</w:t>
            </w:r>
          </w:p>
        </w:tc>
      </w:tr>
    </w:tbl>
    <w:p>
      <w:pPr>
        <w:pageBreakBefore w:val="0"/>
        <w:kinsoku/>
        <w:wordWrap/>
        <w:overflowPunct/>
        <w:topLinePunct w:val="0"/>
        <w:autoSpaceDE/>
        <w:autoSpaceDN/>
        <w:bidi w:val="0"/>
        <w:adjustRightInd/>
        <w:snapToGrid/>
        <w:spacing w:line="240" w:lineRule="auto"/>
        <w:ind w:left="0" w:leftChars="0" w:firstLine="560" w:firstLineChars="200"/>
        <w:rPr>
          <w:rFonts w:hint="eastAsia" w:ascii="宋体" w:hAnsi="宋体" w:eastAsia="宋体"/>
          <w:b/>
          <w:sz w:val="28"/>
          <w:szCs w:val="28"/>
        </w:rPr>
      </w:pPr>
      <w:r>
        <w:rPr>
          <w:rFonts w:hint="eastAsia" w:ascii="宋体" w:hAnsi="宋体" w:eastAsia="宋体"/>
          <w:b/>
          <w:sz w:val="28"/>
          <w:szCs w:val="28"/>
        </w:rPr>
        <w:br w:type="textWrapping"/>
      </w:r>
    </w:p>
    <w:p>
      <w:pPr>
        <w:pageBreakBefore w:val="0"/>
        <w:kinsoku/>
        <w:wordWrap/>
        <w:overflowPunct/>
        <w:topLinePunct w:val="0"/>
        <w:autoSpaceDE/>
        <w:autoSpaceDN/>
        <w:bidi w:val="0"/>
        <w:adjustRightInd/>
        <w:snapToGrid/>
        <w:spacing w:line="240" w:lineRule="auto"/>
        <w:ind w:left="0" w:leftChars="0" w:firstLine="560" w:firstLineChars="200"/>
        <w:rPr>
          <w:rFonts w:ascii="宋体" w:hAnsi="宋体" w:eastAsia="宋体"/>
          <w:b/>
          <w:sz w:val="28"/>
          <w:szCs w:val="28"/>
        </w:rPr>
      </w:pPr>
      <w:r>
        <w:rPr>
          <w:rFonts w:hint="eastAsia" w:ascii="宋体" w:hAnsi="宋体" w:eastAsia="宋体"/>
          <w:b/>
          <w:sz w:val="28"/>
          <w:szCs w:val="28"/>
        </w:rPr>
        <w:t>说明：</w:t>
      </w:r>
    </w:p>
    <w:p>
      <w:pPr>
        <w:pageBreakBefore w:val="0"/>
        <w:kinsoku/>
        <w:wordWrap/>
        <w:overflowPunct/>
        <w:topLinePunct w:val="0"/>
        <w:autoSpaceDE/>
        <w:autoSpaceDN/>
        <w:bidi w:val="0"/>
        <w:adjustRightInd/>
        <w:snapToGrid/>
        <w:spacing w:line="240" w:lineRule="auto"/>
        <w:ind w:left="0" w:leftChars="0" w:firstLine="544" w:firstLineChars="200"/>
        <w:outlineLvl w:val="2"/>
        <w:rPr>
          <w:rFonts w:hint="eastAsia" w:ascii="宋体" w:hAnsi="宋体" w:eastAsia="宋体" w:cs="宋体"/>
          <w:spacing w:val="-4"/>
          <w:sz w:val="28"/>
          <w:szCs w:val="28"/>
        </w:rPr>
      </w:pPr>
      <w:r>
        <w:rPr>
          <w:rFonts w:hint="eastAsia" w:ascii="宋体" w:hAnsi="宋体" w:eastAsia="宋体" w:cs="宋体"/>
          <w:spacing w:val="-4"/>
          <w:sz w:val="28"/>
          <w:szCs w:val="28"/>
        </w:rPr>
        <w:t>1.由于不同行业在研发投入与产出方面存在较大差异，技术中心评估时，对不同行业企业“研发经费支出占主营业务收入的比重”、“新产品销售收入占主营业务收入的比重”、“新产品销售利润占利润总额的比重”三个指标引入行业系数加以调节。</w:t>
      </w:r>
    </w:p>
    <w:p>
      <w:pPr>
        <w:pageBreakBefore w:val="0"/>
        <w:kinsoku/>
        <w:wordWrap/>
        <w:overflowPunct/>
        <w:topLinePunct w:val="0"/>
        <w:autoSpaceDE/>
        <w:autoSpaceDN/>
        <w:bidi w:val="0"/>
        <w:adjustRightInd/>
        <w:snapToGrid/>
        <w:spacing w:line="240" w:lineRule="auto"/>
        <w:ind w:left="0" w:leftChars="0" w:firstLine="544" w:firstLineChars="200"/>
        <w:outlineLvl w:val="2"/>
        <w:rPr>
          <w:rFonts w:hint="eastAsia" w:ascii="宋体" w:hAnsi="宋体" w:eastAsia="宋体" w:cs="宋体"/>
          <w:spacing w:val="-4"/>
          <w:sz w:val="28"/>
          <w:szCs w:val="28"/>
        </w:rPr>
      </w:pPr>
      <w:r>
        <w:rPr>
          <w:rFonts w:hint="eastAsia" w:ascii="宋体" w:hAnsi="宋体" w:eastAsia="宋体" w:cs="宋体"/>
          <w:spacing w:val="-4"/>
          <w:sz w:val="28"/>
          <w:szCs w:val="28"/>
        </w:rPr>
        <w:t>2.企业填报时实际数据填报。</w:t>
      </w:r>
    </w:p>
    <w:p>
      <w:pPr>
        <w:pageBreakBefore w:val="0"/>
        <w:kinsoku/>
        <w:wordWrap/>
        <w:overflowPunct/>
        <w:topLinePunct w:val="0"/>
        <w:autoSpaceDE/>
        <w:autoSpaceDN/>
        <w:bidi w:val="0"/>
        <w:adjustRightInd/>
        <w:snapToGrid/>
        <w:spacing w:line="240" w:lineRule="auto"/>
        <w:ind w:left="0" w:leftChars="0" w:firstLine="544" w:firstLineChars="200"/>
        <w:outlineLvl w:val="2"/>
        <w:rPr>
          <w:rFonts w:hint="eastAsia" w:ascii="宋体" w:hAnsi="宋体" w:eastAsia="宋体" w:cs="宋体"/>
          <w:spacing w:val="-4"/>
          <w:sz w:val="28"/>
          <w:szCs w:val="28"/>
        </w:rPr>
      </w:pPr>
      <w:r>
        <w:rPr>
          <w:rFonts w:hint="eastAsia" w:ascii="宋体" w:hAnsi="宋体" w:eastAsia="宋体" w:cs="宋体"/>
          <w:spacing w:val="-4"/>
          <w:sz w:val="28"/>
          <w:szCs w:val="28"/>
        </w:rPr>
        <w:t>3.行业系数中的“其他”行业包括：“交通运输、仓储和邮政业”、“文化、体育和娱乐业”、“租赁和商务服务业”等行业。</w:t>
      </w:r>
    </w:p>
    <w:p>
      <w:pPr>
        <w:pageBreakBefore w:val="0"/>
        <w:kinsoku/>
        <w:wordWrap/>
        <w:overflowPunct/>
        <w:topLinePunct w:val="0"/>
        <w:autoSpaceDE/>
        <w:autoSpaceDN/>
        <w:bidi w:val="0"/>
        <w:adjustRightInd/>
        <w:snapToGrid/>
        <w:spacing w:line="240" w:lineRule="auto"/>
        <w:ind w:left="0" w:leftChars="0"/>
        <w:rPr>
          <w:rFonts w:hint="eastAsia" w:eastAsiaTheme="minorEastAsia"/>
          <w:lang w:eastAsia="zh-CN"/>
        </w:rPr>
      </w:pPr>
    </w:p>
    <w:p>
      <w:pPr>
        <w:pageBreakBefore w:val="0"/>
        <w:kinsoku/>
        <w:wordWrap/>
        <w:overflowPunct/>
        <w:topLinePunct w:val="0"/>
        <w:autoSpaceDE/>
        <w:autoSpaceDN/>
        <w:bidi w:val="0"/>
        <w:adjustRightInd/>
        <w:snapToGrid/>
        <w:spacing w:line="240" w:lineRule="auto"/>
        <w:ind w:left="0" w:leftChars="0"/>
        <w:rPr>
          <w:rFonts w:hint="eastAsia" w:eastAsiaTheme="minorEastAsia"/>
          <w:lang w:eastAsia="zh-CN"/>
        </w:rPr>
      </w:pPr>
    </w:p>
    <w:p>
      <w:pPr>
        <w:pageBreakBefore w:val="0"/>
        <w:kinsoku/>
        <w:wordWrap/>
        <w:overflowPunct/>
        <w:topLinePunct w:val="0"/>
        <w:autoSpaceDE/>
        <w:autoSpaceDN/>
        <w:bidi w:val="0"/>
        <w:adjustRightInd/>
        <w:snapToGrid/>
        <w:spacing w:line="240" w:lineRule="auto"/>
        <w:ind w:left="0" w:leftChars="0"/>
        <w:rPr>
          <w:rFonts w:hint="eastAsia" w:eastAsiaTheme="minorEastAsia"/>
          <w:lang w:eastAsia="zh-CN"/>
        </w:rPr>
      </w:pPr>
    </w:p>
    <w:p>
      <w:pPr>
        <w:pageBreakBefore w:val="0"/>
        <w:kinsoku/>
        <w:wordWrap/>
        <w:overflowPunct/>
        <w:topLinePunct w:val="0"/>
        <w:autoSpaceDE/>
        <w:autoSpaceDN/>
        <w:bidi w:val="0"/>
        <w:adjustRightInd/>
        <w:snapToGrid/>
        <w:spacing w:line="240" w:lineRule="auto"/>
        <w:ind w:left="0" w:leftChars="0"/>
      </w:pPr>
    </w:p>
    <w:p>
      <w:pPr>
        <w:keepNext w:val="0"/>
        <w:keepLines w:val="0"/>
        <w:pageBreakBefore w:val="0"/>
        <w:widowControl w:val="0"/>
        <w:kinsoku/>
        <w:wordWrap/>
        <w:overflowPunct/>
        <w:topLinePunct w:val="0"/>
        <w:autoSpaceDE/>
        <w:autoSpaceDN/>
        <w:bidi w:val="0"/>
        <w:adjustRightInd/>
        <w:snapToGrid/>
        <w:spacing w:line="240" w:lineRule="auto"/>
        <w:ind w:left="0" w:leftChars="0" w:right="320" w:firstLine="560" w:firstLineChars="200"/>
        <w:contextualSpacing/>
        <w:jc w:val="left"/>
        <w:textAlignment w:val="auto"/>
        <w:outlineLvl w:val="9"/>
        <w:rPr>
          <w:rFonts w:hint="eastAsia" w:ascii="宋体" w:hAnsi="宋体"/>
          <w:color w:val="auto"/>
          <w:sz w:val="28"/>
          <w:szCs w:val="28"/>
          <w:lang w:val="en-US" w:eastAsia="zh-CN"/>
        </w:rPr>
      </w:pPr>
    </w:p>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361" w:bottom="1928" w:left="1361" w:header="851" w:footer="850" w:gutter="0"/>
      <w:pgNumType w:fmt="numberInDash"/>
      <w:cols w:space="720" w:num="1"/>
      <w:rtlGutter w:val="0"/>
      <w:docGrid w:type="linesAndChars" w:linePitch="585"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Style w:val="6"/>
                            </w:rPr>
                          </w:pPr>
                          <w:r>
                            <w:fldChar w:fldCharType="begin"/>
                          </w:r>
                          <w:r>
                            <w:rPr>
                              <w:rStyle w:val="6"/>
                            </w:rPr>
                            <w:instrText xml:space="preserve">PAGE  </w:instrText>
                          </w:r>
                          <w:r>
                            <w:fldChar w:fldCharType="separate"/>
                          </w:r>
                          <w:r>
                            <w:rPr>
                              <w:rStyle w:val="6"/>
                            </w:rP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3"/>
                      <w:rPr>
                        <w:rStyle w:val="6"/>
                      </w:rPr>
                    </w:pPr>
                    <w:r>
                      <w:fldChar w:fldCharType="begin"/>
                    </w:r>
                    <w:r>
                      <w:rPr>
                        <w:rStyle w:val="6"/>
                      </w:rPr>
                      <w:instrText xml:space="preserve">PAGE  </w:instrText>
                    </w:r>
                    <w:r>
                      <w:fldChar w:fldCharType="separate"/>
                    </w:r>
                    <w:r>
                      <w:rPr>
                        <w:rStyle w:val="6"/>
                      </w:rPr>
                      <w:t>23</w:t>
                    </w:r>
                    <w: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07A3F"/>
    <w:rsid w:val="13CA43FD"/>
    <w:rsid w:val="19807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caption"/>
    <w:basedOn w:val="1"/>
    <w:next w:val="1"/>
    <w:unhideWhenUsed/>
    <w:qFormat/>
    <w:uiPriority w:val="0"/>
    <w:rPr>
      <w:rFonts w:ascii="Cambria" w:hAnsi="Cambria" w:eastAsia="黑体" w:cs="Cambria"/>
      <w:sz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2019-03-11T07:57:00Z</dcterms:created>
  <dc:creator>NTKO</dc:creator>
  <cp:lastModifiedBy>NTKO</cp:lastModifiedBy>
  <dcterms:modified xsi:type="dcterms:W3CDTF">2019-03-11T08:07:28Z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